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31" w:rsidRPr="00F75BDD" w:rsidRDefault="00163A61" w:rsidP="00B94794">
      <w:pPr>
        <w:pStyle w:val="Title"/>
        <w:spacing w:line="240" w:lineRule="auto"/>
        <w:ind w:left="7110" w:right="-306"/>
        <w:jc w:val="left"/>
        <w:rPr>
          <w:color w:val="FF0000"/>
          <w:sz w:val="28"/>
          <w:szCs w:val="28"/>
        </w:rPr>
      </w:pPr>
      <w:r>
        <w:rPr>
          <w:color w:val="FF0000"/>
          <w:sz w:val="28"/>
          <w:szCs w:val="28"/>
        </w:rPr>
        <w:t>Draft -</w:t>
      </w:r>
      <w:r w:rsidR="00F75BDD">
        <w:rPr>
          <w:color w:val="FF0000"/>
          <w:sz w:val="28"/>
          <w:szCs w:val="28"/>
        </w:rPr>
        <w:t xml:space="preserve"> </w:t>
      </w:r>
      <w:r w:rsidR="00516275">
        <w:rPr>
          <w:color w:val="FF0000"/>
          <w:sz w:val="28"/>
          <w:szCs w:val="28"/>
        </w:rPr>
        <w:t xml:space="preserve">September </w:t>
      </w:r>
      <w:r w:rsidR="00B94794">
        <w:rPr>
          <w:color w:val="FF0000"/>
          <w:sz w:val="28"/>
          <w:szCs w:val="28"/>
        </w:rPr>
        <w:t>10</w:t>
      </w:r>
      <w:r w:rsidR="00F75BDD" w:rsidRPr="00F75BDD">
        <w:rPr>
          <w:color w:val="FF0000"/>
          <w:sz w:val="28"/>
          <w:szCs w:val="28"/>
        </w:rPr>
        <w:t xml:space="preserve">, </w:t>
      </w:r>
      <w:r w:rsidR="000C3338">
        <w:rPr>
          <w:color w:val="FF0000"/>
          <w:sz w:val="28"/>
          <w:szCs w:val="28"/>
        </w:rPr>
        <w:t>2</w:t>
      </w:r>
      <w:r w:rsidR="00F75BDD" w:rsidRPr="00F75BDD">
        <w:rPr>
          <w:color w:val="FF0000"/>
          <w:sz w:val="28"/>
          <w:szCs w:val="28"/>
        </w:rPr>
        <w:t>015</w:t>
      </w:r>
    </w:p>
    <w:p w:rsidR="00F75BDD" w:rsidRPr="00411B94" w:rsidRDefault="00F75BDD" w:rsidP="005903E4">
      <w:pPr>
        <w:pStyle w:val="Title"/>
        <w:tabs>
          <w:tab w:val="right" w:pos="9180"/>
        </w:tabs>
        <w:spacing w:line="240" w:lineRule="auto"/>
        <w:rPr>
          <w:sz w:val="28"/>
          <w:szCs w:val="28"/>
        </w:rPr>
      </w:pPr>
    </w:p>
    <w:p w:rsidR="005903E4" w:rsidRPr="00411B94" w:rsidRDefault="00EF243A" w:rsidP="005903E4">
      <w:pPr>
        <w:pStyle w:val="Title"/>
        <w:tabs>
          <w:tab w:val="right" w:pos="9180"/>
        </w:tabs>
        <w:spacing w:line="240" w:lineRule="auto"/>
        <w:rPr>
          <w:sz w:val="28"/>
          <w:szCs w:val="28"/>
        </w:rPr>
      </w:pPr>
      <w:r w:rsidRPr="00411B94">
        <w:rPr>
          <w:sz w:val="28"/>
          <w:szCs w:val="28"/>
        </w:rPr>
        <w:t>PENNSYLVANIA HOUSING FINANCE AGENCY</w:t>
      </w:r>
    </w:p>
    <w:p w:rsidR="005903E4" w:rsidRPr="00411B94" w:rsidRDefault="00EF243A" w:rsidP="005903E4">
      <w:pPr>
        <w:spacing w:line="240" w:lineRule="auto"/>
        <w:jc w:val="center"/>
        <w:rPr>
          <w:b/>
          <w:sz w:val="28"/>
          <w:szCs w:val="28"/>
        </w:rPr>
      </w:pPr>
      <w:r w:rsidRPr="00411B94">
        <w:rPr>
          <w:b/>
          <w:sz w:val="28"/>
          <w:szCs w:val="28"/>
        </w:rPr>
        <w:t xml:space="preserve">ALLOCATION </w:t>
      </w:r>
      <w:smartTag w:uri="urn:schemas-microsoft-com:office:smarttags" w:element="stockticker">
        <w:r w:rsidRPr="00411B94">
          <w:rPr>
            <w:b/>
            <w:sz w:val="28"/>
            <w:szCs w:val="28"/>
          </w:rPr>
          <w:t>PLAN</w:t>
        </w:r>
      </w:smartTag>
      <w:r w:rsidRPr="00411B94">
        <w:rPr>
          <w:b/>
          <w:sz w:val="28"/>
          <w:szCs w:val="28"/>
        </w:rPr>
        <w:t xml:space="preserve"> FOR YEAR </w:t>
      </w:r>
      <w:r w:rsidR="00AF1F86">
        <w:rPr>
          <w:b/>
          <w:sz w:val="28"/>
          <w:szCs w:val="28"/>
        </w:rPr>
        <w:t>2016</w:t>
      </w:r>
    </w:p>
    <w:p w:rsidR="005903E4" w:rsidRPr="00411B94" w:rsidRDefault="00EF243A" w:rsidP="005903E4">
      <w:pPr>
        <w:pBdr>
          <w:bottom w:val="single" w:sz="4" w:space="2" w:color="auto"/>
        </w:pBdr>
        <w:spacing w:line="240" w:lineRule="auto"/>
        <w:jc w:val="center"/>
        <w:rPr>
          <w:b/>
          <w:sz w:val="28"/>
          <w:szCs w:val="28"/>
        </w:rPr>
      </w:pPr>
      <w:smartTag w:uri="urn:schemas-microsoft-com:office:smarttags" w:element="stockticker">
        <w:r w:rsidRPr="00411B94">
          <w:rPr>
            <w:b/>
            <w:sz w:val="28"/>
            <w:szCs w:val="28"/>
          </w:rPr>
          <w:t>LOW</w:t>
        </w:r>
      </w:smartTag>
      <w:r w:rsidRPr="00411B94">
        <w:rPr>
          <w:b/>
          <w:sz w:val="28"/>
          <w:szCs w:val="28"/>
        </w:rPr>
        <w:t xml:space="preserve"> INCOME HOUSING TAX CREDIT PROGRAM</w:t>
      </w:r>
    </w:p>
    <w:p w:rsidR="006C55C4" w:rsidRPr="00411B94" w:rsidRDefault="006C55C4" w:rsidP="005903E4">
      <w:pPr>
        <w:spacing w:line="240" w:lineRule="auto"/>
        <w:jc w:val="center"/>
        <w:rPr>
          <w:b/>
          <w:sz w:val="22"/>
          <w:szCs w:val="22"/>
          <w:u w:val="single"/>
        </w:rPr>
      </w:pPr>
    </w:p>
    <w:p w:rsidR="006C55C4" w:rsidRPr="00411B94" w:rsidRDefault="006C55C4" w:rsidP="005903E4">
      <w:pPr>
        <w:spacing w:line="240" w:lineRule="auto"/>
        <w:jc w:val="center"/>
        <w:rPr>
          <w:b/>
          <w:sz w:val="22"/>
          <w:szCs w:val="22"/>
          <w:u w:val="single"/>
        </w:rPr>
      </w:pPr>
    </w:p>
    <w:p w:rsidR="005903E4" w:rsidRPr="00411B94" w:rsidRDefault="005903E4" w:rsidP="005903E4">
      <w:pPr>
        <w:spacing w:line="240" w:lineRule="auto"/>
        <w:jc w:val="center"/>
        <w:rPr>
          <w:b/>
          <w:sz w:val="22"/>
          <w:szCs w:val="22"/>
          <w:u w:val="single"/>
        </w:rPr>
      </w:pPr>
      <w:r w:rsidRPr="00411B94">
        <w:rPr>
          <w:b/>
          <w:sz w:val="22"/>
          <w:szCs w:val="22"/>
          <w:u w:val="single"/>
        </w:rPr>
        <w:t xml:space="preserve">PROCESSING </w:t>
      </w:r>
      <w:r w:rsidR="006A3643" w:rsidRPr="00411B94">
        <w:rPr>
          <w:b/>
          <w:sz w:val="22"/>
          <w:szCs w:val="22"/>
          <w:u w:val="single"/>
        </w:rPr>
        <w:t xml:space="preserve">OVERVIEW </w:t>
      </w:r>
      <w:smartTag w:uri="urn:schemas-microsoft-com:office:smarttags" w:element="stockticker">
        <w:r w:rsidR="006A3643" w:rsidRPr="00411B94">
          <w:rPr>
            <w:b/>
            <w:sz w:val="22"/>
            <w:szCs w:val="22"/>
            <w:u w:val="single"/>
          </w:rPr>
          <w:t>AND</w:t>
        </w:r>
      </w:smartTag>
      <w:r w:rsidR="006A3643" w:rsidRPr="00411B94">
        <w:rPr>
          <w:b/>
          <w:sz w:val="22"/>
          <w:szCs w:val="22"/>
          <w:u w:val="single"/>
        </w:rPr>
        <w:t xml:space="preserve"> </w:t>
      </w:r>
      <w:r w:rsidRPr="00411B94">
        <w:rPr>
          <w:b/>
          <w:sz w:val="22"/>
          <w:szCs w:val="22"/>
          <w:u w:val="single"/>
        </w:rPr>
        <w:t>PROCEDURES</w:t>
      </w:r>
      <w:r w:rsidR="006C55C4" w:rsidRPr="00411B94">
        <w:rPr>
          <w:b/>
          <w:sz w:val="22"/>
          <w:szCs w:val="22"/>
          <w:u w:val="single"/>
        </w:rPr>
        <w:t xml:space="preserve"> FOR </w:t>
      </w:r>
      <w:r w:rsidR="00AF1F86">
        <w:rPr>
          <w:b/>
          <w:sz w:val="22"/>
          <w:szCs w:val="22"/>
          <w:u w:val="single"/>
        </w:rPr>
        <w:t>2016</w:t>
      </w:r>
    </w:p>
    <w:p w:rsidR="005903E4" w:rsidRPr="00411B94" w:rsidRDefault="005903E4" w:rsidP="005903E4">
      <w:pPr>
        <w:spacing w:line="240" w:lineRule="auto"/>
        <w:rPr>
          <w:sz w:val="22"/>
          <w:szCs w:val="22"/>
        </w:rPr>
      </w:pPr>
    </w:p>
    <w:p w:rsidR="00D519CC" w:rsidRPr="00411B94" w:rsidRDefault="006C55C4" w:rsidP="008F674E">
      <w:pPr>
        <w:spacing w:line="240" w:lineRule="auto"/>
        <w:ind w:left="360" w:right="-36" w:firstLine="360"/>
        <w:rPr>
          <w:sz w:val="22"/>
          <w:szCs w:val="22"/>
        </w:rPr>
      </w:pPr>
      <w:r w:rsidRPr="00411B94">
        <w:rPr>
          <w:sz w:val="22"/>
          <w:szCs w:val="22"/>
        </w:rPr>
        <w:t>The Pennsylvania Housing Finance Agency (the "Agency") administers the Federal Low Income Housing Tax Credit Program ("Tax Credit Progra</w:t>
      </w:r>
      <w:bookmarkStart w:id="0" w:name="_GoBack"/>
      <w:bookmarkEnd w:id="0"/>
      <w:r w:rsidRPr="00411B94">
        <w:rPr>
          <w:sz w:val="22"/>
          <w:szCs w:val="22"/>
        </w:rPr>
        <w:t xml:space="preserve">m") in the Commonwealth of Pennsylvania.  Pursuant to federal law governing the </w:t>
      </w:r>
      <w:r w:rsidR="003422B0" w:rsidRPr="00411B94">
        <w:rPr>
          <w:sz w:val="22"/>
          <w:szCs w:val="22"/>
        </w:rPr>
        <w:t xml:space="preserve">Tax Credit </w:t>
      </w:r>
      <w:r w:rsidRPr="00411B94">
        <w:rPr>
          <w:sz w:val="22"/>
          <w:szCs w:val="22"/>
        </w:rPr>
        <w:t xml:space="preserve">Program, </w:t>
      </w:r>
      <w:r w:rsidR="00FA59D1" w:rsidRPr="00411B94">
        <w:rPr>
          <w:sz w:val="22"/>
          <w:szCs w:val="22"/>
        </w:rPr>
        <w:t xml:space="preserve">each year, the </w:t>
      </w:r>
      <w:r w:rsidRPr="00411B94">
        <w:rPr>
          <w:sz w:val="22"/>
          <w:szCs w:val="22"/>
        </w:rPr>
        <w:t>Agency adopt</w:t>
      </w:r>
      <w:r w:rsidR="00FA59D1" w:rsidRPr="00411B94">
        <w:rPr>
          <w:sz w:val="22"/>
          <w:szCs w:val="22"/>
        </w:rPr>
        <w:t>s</w:t>
      </w:r>
      <w:r w:rsidRPr="00411B94">
        <w:rPr>
          <w:sz w:val="22"/>
          <w:szCs w:val="22"/>
        </w:rPr>
        <w:t xml:space="preserve"> a plan (the "Allocation Plan") outlining the allocation priorities and procedures to be followed in distributing Federal Low Income Housing Tax Credits ("Tax Credits") based on the housing needs of the Commonwealth.  Adoption of the Allocation Plan requires approval by the Governor after a public hearing. </w:t>
      </w:r>
    </w:p>
    <w:p w:rsidR="00D41A59" w:rsidRPr="00411B94" w:rsidRDefault="00D41A59">
      <w:pPr>
        <w:spacing w:line="240" w:lineRule="auto"/>
        <w:ind w:left="360" w:firstLine="360"/>
        <w:rPr>
          <w:sz w:val="22"/>
          <w:szCs w:val="22"/>
        </w:rPr>
      </w:pPr>
    </w:p>
    <w:p w:rsidR="005903E4" w:rsidRPr="00411B94" w:rsidRDefault="00A0596B" w:rsidP="00E33932">
      <w:pPr>
        <w:spacing w:line="240" w:lineRule="auto"/>
        <w:ind w:left="360" w:firstLine="360"/>
        <w:rPr>
          <w:sz w:val="22"/>
          <w:szCs w:val="22"/>
        </w:rPr>
      </w:pPr>
      <w:r w:rsidRPr="00411B94">
        <w:rPr>
          <w:sz w:val="22"/>
          <w:szCs w:val="22"/>
        </w:rPr>
        <w:t>The Agency intends</w:t>
      </w:r>
      <w:r w:rsidR="00E33932" w:rsidRPr="00411B94">
        <w:rPr>
          <w:sz w:val="22"/>
          <w:szCs w:val="22"/>
        </w:rPr>
        <w:t xml:space="preserve"> to review the </w:t>
      </w:r>
      <w:r w:rsidR="002D1116" w:rsidRPr="00411B94">
        <w:rPr>
          <w:sz w:val="22"/>
          <w:szCs w:val="22"/>
        </w:rPr>
        <w:t>Application</w:t>
      </w:r>
      <w:r w:rsidR="00E33932" w:rsidRPr="00411B94">
        <w:rPr>
          <w:sz w:val="22"/>
          <w:szCs w:val="22"/>
        </w:rPr>
        <w:t xml:space="preserve">s </w:t>
      </w:r>
      <w:r w:rsidR="00204149" w:rsidRPr="00411B94">
        <w:rPr>
          <w:sz w:val="22"/>
          <w:szCs w:val="22"/>
        </w:rPr>
        <w:t xml:space="preserve">for Tax Credits ("Applications") </w:t>
      </w:r>
      <w:r w:rsidR="00E33932" w:rsidRPr="00411B94">
        <w:rPr>
          <w:sz w:val="22"/>
          <w:szCs w:val="22"/>
        </w:rPr>
        <w:t xml:space="preserve">it receives and to select among the </w:t>
      </w:r>
      <w:r w:rsidR="002D1116" w:rsidRPr="00411B94">
        <w:rPr>
          <w:sz w:val="22"/>
          <w:szCs w:val="22"/>
        </w:rPr>
        <w:t>Applicant</w:t>
      </w:r>
      <w:r w:rsidR="00E33932" w:rsidRPr="00411B94">
        <w:rPr>
          <w:sz w:val="22"/>
          <w:szCs w:val="22"/>
        </w:rPr>
        <w:t xml:space="preserve">s based on the selection ranking criteria, with </w:t>
      </w:r>
      <w:r w:rsidR="00E33932" w:rsidRPr="00411B94">
        <w:rPr>
          <w:b/>
          <w:sz w:val="22"/>
          <w:szCs w:val="22"/>
        </w:rPr>
        <w:t xml:space="preserve">priority given to projects </w:t>
      </w:r>
      <w:r w:rsidR="002A3C95" w:rsidRPr="00411B94">
        <w:rPr>
          <w:b/>
          <w:sz w:val="22"/>
          <w:szCs w:val="22"/>
        </w:rPr>
        <w:t xml:space="preserve">which fill an abject need or which best </w:t>
      </w:r>
      <w:r w:rsidR="00E33932" w:rsidRPr="00411B94">
        <w:rPr>
          <w:b/>
          <w:sz w:val="22"/>
          <w:szCs w:val="22"/>
        </w:rPr>
        <w:t>demonstrat</w:t>
      </w:r>
      <w:r w:rsidR="002A3C95" w:rsidRPr="00411B94">
        <w:rPr>
          <w:b/>
          <w:sz w:val="22"/>
          <w:szCs w:val="22"/>
        </w:rPr>
        <w:t>e</w:t>
      </w:r>
      <w:r w:rsidR="00E33932" w:rsidRPr="00411B94">
        <w:rPr>
          <w:b/>
          <w:sz w:val="22"/>
          <w:szCs w:val="22"/>
        </w:rPr>
        <w:t xml:space="preserve"> an ability to move forward</w:t>
      </w:r>
      <w:r w:rsidR="00E33932" w:rsidRPr="00411B94">
        <w:rPr>
          <w:sz w:val="22"/>
          <w:szCs w:val="22"/>
        </w:rPr>
        <w:t xml:space="preserve">.  </w:t>
      </w:r>
      <w:r w:rsidR="009623C5" w:rsidRPr="00411B94">
        <w:rPr>
          <w:sz w:val="22"/>
          <w:szCs w:val="22"/>
        </w:rPr>
        <w:t xml:space="preserve">The Selection Criteria has been amended to reflect specific needs and market conditions which may differ based on type of property, targeted populations and housing needs.  </w:t>
      </w:r>
    </w:p>
    <w:p w:rsidR="00E45E31" w:rsidRPr="00411B94" w:rsidRDefault="00E45E31" w:rsidP="005903E4">
      <w:pPr>
        <w:spacing w:line="240" w:lineRule="auto"/>
        <w:rPr>
          <w:sz w:val="22"/>
          <w:szCs w:val="22"/>
        </w:rPr>
      </w:pPr>
    </w:p>
    <w:p w:rsidR="00E45E31" w:rsidRPr="00411B94" w:rsidRDefault="00E45E31" w:rsidP="001B5101">
      <w:pPr>
        <w:spacing w:line="240" w:lineRule="auto"/>
        <w:ind w:left="360" w:firstLine="360"/>
        <w:rPr>
          <w:sz w:val="22"/>
          <w:szCs w:val="22"/>
        </w:rPr>
      </w:pPr>
      <w:r w:rsidRPr="00411B94">
        <w:rPr>
          <w:b/>
          <w:sz w:val="22"/>
          <w:szCs w:val="22"/>
        </w:rPr>
        <w:t xml:space="preserve">The Agency </w:t>
      </w:r>
      <w:r w:rsidR="0050062B" w:rsidRPr="00411B94">
        <w:rPr>
          <w:b/>
          <w:sz w:val="22"/>
          <w:szCs w:val="22"/>
        </w:rPr>
        <w:t xml:space="preserve">may issue </w:t>
      </w:r>
      <w:r w:rsidRPr="00411B94">
        <w:rPr>
          <w:b/>
          <w:sz w:val="22"/>
          <w:szCs w:val="22"/>
        </w:rPr>
        <w:t>supplemental policy and guideline announcements</w:t>
      </w:r>
      <w:r w:rsidRPr="00411B94">
        <w:rPr>
          <w:sz w:val="22"/>
          <w:szCs w:val="22"/>
        </w:rPr>
        <w:t xml:space="preserve"> affecting this Allocation Plan.  Please refer to the Agency's website at </w:t>
      </w:r>
      <w:r w:rsidR="007A6782" w:rsidRPr="00411B94">
        <w:rPr>
          <w:i/>
          <w:sz w:val="22"/>
          <w:szCs w:val="22"/>
        </w:rPr>
        <w:t>www.phfa.org</w:t>
      </w:r>
      <w:r w:rsidRPr="00411B94">
        <w:rPr>
          <w:sz w:val="22"/>
          <w:szCs w:val="22"/>
        </w:rPr>
        <w:t xml:space="preserve">.  </w:t>
      </w:r>
    </w:p>
    <w:p w:rsidR="005F072D" w:rsidRPr="00411B94" w:rsidRDefault="005F072D" w:rsidP="00E94493">
      <w:pPr>
        <w:spacing w:line="240" w:lineRule="auto"/>
        <w:rPr>
          <w:b/>
          <w:sz w:val="22"/>
          <w:szCs w:val="22"/>
        </w:rPr>
      </w:pPr>
    </w:p>
    <w:p w:rsidR="005F072D" w:rsidRPr="00411B94" w:rsidRDefault="005F072D" w:rsidP="00E94493">
      <w:pPr>
        <w:spacing w:line="240" w:lineRule="auto"/>
        <w:jc w:val="center"/>
        <w:rPr>
          <w:b/>
          <w:sz w:val="22"/>
          <w:szCs w:val="22"/>
          <w:u w:val="single"/>
        </w:rPr>
      </w:pPr>
      <w:r w:rsidRPr="00411B94">
        <w:rPr>
          <w:b/>
          <w:sz w:val="22"/>
          <w:szCs w:val="22"/>
          <w:u w:val="single"/>
        </w:rPr>
        <w:t>SUBMISSION REQUIREMENTS</w:t>
      </w:r>
    </w:p>
    <w:p w:rsidR="00E95789" w:rsidRPr="00411B94" w:rsidRDefault="00E95789" w:rsidP="00E95789">
      <w:pPr>
        <w:spacing w:line="240" w:lineRule="auto"/>
        <w:rPr>
          <w:sz w:val="22"/>
          <w:szCs w:val="22"/>
        </w:rPr>
      </w:pPr>
    </w:p>
    <w:p w:rsidR="00D64DFC" w:rsidRPr="00411B94" w:rsidRDefault="00E95789" w:rsidP="001B5101">
      <w:pPr>
        <w:spacing w:line="240" w:lineRule="auto"/>
        <w:ind w:left="360" w:firstLine="360"/>
        <w:rPr>
          <w:sz w:val="22"/>
          <w:szCs w:val="22"/>
        </w:rPr>
      </w:pPr>
      <w:r w:rsidRPr="00411B94">
        <w:rPr>
          <w:sz w:val="22"/>
          <w:szCs w:val="22"/>
        </w:rPr>
        <w:t xml:space="preserve">All information submitted by the </w:t>
      </w:r>
      <w:r w:rsidR="002D1116" w:rsidRPr="00411B94">
        <w:rPr>
          <w:sz w:val="22"/>
          <w:szCs w:val="22"/>
        </w:rPr>
        <w:t>Applicant</w:t>
      </w:r>
      <w:r w:rsidRPr="00411B94">
        <w:rPr>
          <w:sz w:val="22"/>
          <w:szCs w:val="22"/>
        </w:rPr>
        <w:t xml:space="preserve"> or </w:t>
      </w:r>
      <w:r w:rsidR="00351602" w:rsidRPr="00411B94">
        <w:rPr>
          <w:sz w:val="22"/>
          <w:szCs w:val="22"/>
        </w:rPr>
        <w:t>requested</w:t>
      </w:r>
      <w:r w:rsidRPr="00411B94">
        <w:rPr>
          <w:sz w:val="22"/>
          <w:szCs w:val="22"/>
        </w:rPr>
        <w:t xml:space="preserve"> by the Agency in the review of the Application is the sole property of the Agency and may be made public.  The Agency's processing procedures, fee schedules and limitations, and current rent and income limits are set forth in the Agency's </w:t>
      </w:r>
      <w:r w:rsidR="00AF1F86">
        <w:rPr>
          <w:sz w:val="22"/>
          <w:szCs w:val="22"/>
        </w:rPr>
        <w:t>2016</w:t>
      </w:r>
      <w:r w:rsidRPr="00411B94">
        <w:rPr>
          <w:sz w:val="22"/>
          <w:szCs w:val="22"/>
        </w:rPr>
        <w:t xml:space="preserve"> Multifamily Housing Application Package and </w:t>
      </w:r>
      <w:r w:rsidR="00AF1F86">
        <w:rPr>
          <w:sz w:val="22"/>
          <w:szCs w:val="22"/>
        </w:rPr>
        <w:t>2016</w:t>
      </w:r>
      <w:r w:rsidR="00FF0421" w:rsidRPr="00411B94">
        <w:rPr>
          <w:sz w:val="22"/>
          <w:szCs w:val="22"/>
        </w:rPr>
        <w:t xml:space="preserve"> </w:t>
      </w:r>
      <w:r w:rsidRPr="00411B94">
        <w:rPr>
          <w:sz w:val="22"/>
          <w:szCs w:val="22"/>
        </w:rPr>
        <w:t>Multifamily Housing Program Guidelines</w:t>
      </w:r>
      <w:r w:rsidR="001F54BE" w:rsidRPr="00411B94">
        <w:rPr>
          <w:sz w:val="22"/>
          <w:szCs w:val="22"/>
        </w:rPr>
        <w:t xml:space="preserve"> (</w:t>
      </w:r>
      <w:r w:rsidR="00FA30D4" w:rsidRPr="00411B94">
        <w:rPr>
          <w:sz w:val="22"/>
          <w:szCs w:val="22"/>
        </w:rPr>
        <w:t>the “</w:t>
      </w:r>
      <w:r w:rsidR="00AF1F86">
        <w:rPr>
          <w:sz w:val="22"/>
          <w:szCs w:val="22"/>
        </w:rPr>
        <w:t>2016</w:t>
      </w:r>
      <w:r w:rsidR="001F54BE" w:rsidRPr="00411B94">
        <w:rPr>
          <w:sz w:val="22"/>
          <w:szCs w:val="22"/>
        </w:rPr>
        <w:t xml:space="preserve"> Guidelines</w:t>
      </w:r>
      <w:r w:rsidR="00FA30D4" w:rsidRPr="00411B94">
        <w:rPr>
          <w:sz w:val="22"/>
          <w:szCs w:val="22"/>
        </w:rPr>
        <w:t>”</w:t>
      </w:r>
      <w:r w:rsidR="001F54BE" w:rsidRPr="00411B94">
        <w:rPr>
          <w:sz w:val="22"/>
          <w:szCs w:val="22"/>
        </w:rPr>
        <w:t>)</w:t>
      </w:r>
      <w:r w:rsidRPr="00411B94">
        <w:rPr>
          <w:sz w:val="22"/>
          <w:szCs w:val="22"/>
        </w:rPr>
        <w:t xml:space="preserve">, which will be available on the Agency's website at </w:t>
      </w:r>
      <w:r w:rsidRPr="00411B94">
        <w:rPr>
          <w:i/>
          <w:sz w:val="22"/>
          <w:szCs w:val="22"/>
        </w:rPr>
        <w:t>www.phfa.org</w:t>
      </w:r>
      <w:r w:rsidRPr="00411B94">
        <w:rPr>
          <w:sz w:val="22"/>
          <w:szCs w:val="22"/>
        </w:rPr>
        <w:t>, and may be amended</w:t>
      </w:r>
      <w:r w:rsidR="002D1116" w:rsidRPr="00411B94">
        <w:rPr>
          <w:sz w:val="22"/>
          <w:szCs w:val="22"/>
        </w:rPr>
        <w:t xml:space="preserve"> from time to time.  It is the A</w:t>
      </w:r>
      <w:r w:rsidRPr="00411B94">
        <w:rPr>
          <w:sz w:val="22"/>
          <w:szCs w:val="22"/>
        </w:rPr>
        <w:t xml:space="preserve">pplicant's responsibility to be familiar and compliant with all Tax Credit Program requirements, the regulations, and the Internal Revenue Code (the "Code"), in effect </w:t>
      </w:r>
      <w:r w:rsidR="00983F36" w:rsidRPr="00411B94">
        <w:rPr>
          <w:sz w:val="22"/>
          <w:szCs w:val="22"/>
        </w:rPr>
        <w:t xml:space="preserve">both </w:t>
      </w:r>
      <w:r w:rsidRPr="00411B94">
        <w:rPr>
          <w:sz w:val="22"/>
          <w:szCs w:val="22"/>
        </w:rPr>
        <w:t>now and in the future, as applica</w:t>
      </w:r>
      <w:r w:rsidR="00983F36" w:rsidRPr="00411B94">
        <w:rPr>
          <w:sz w:val="22"/>
          <w:szCs w:val="22"/>
        </w:rPr>
        <w:t>ble to any Application in this P</w:t>
      </w:r>
      <w:r w:rsidRPr="00411B94">
        <w:rPr>
          <w:sz w:val="22"/>
          <w:szCs w:val="22"/>
        </w:rPr>
        <w:t>rogram</w:t>
      </w:r>
      <w:r w:rsidR="00FF1CC8" w:rsidRPr="00411B94">
        <w:rPr>
          <w:sz w:val="22"/>
          <w:szCs w:val="22"/>
        </w:rPr>
        <w:t>.</w:t>
      </w:r>
    </w:p>
    <w:p w:rsidR="00E95789" w:rsidRPr="00411B94" w:rsidRDefault="00E95789" w:rsidP="001B5101">
      <w:pPr>
        <w:spacing w:line="240" w:lineRule="auto"/>
        <w:ind w:left="360" w:firstLine="360"/>
        <w:rPr>
          <w:sz w:val="22"/>
          <w:szCs w:val="22"/>
        </w:rPr>
      </w:pPr>
    </w:p>
    <w:p w:rsidR="00D64DFC" w:rsidRPr="00411B94" w:rsidRDefault="00D64DFC" w:rsidP="00EC7619">
      <w:pPr>
        <w:tabs>
          <w:tab w:val="left" w:pos="360"/>
        </w:tabs>
        <w:spacing w:line="240" w:lineRule="auto"/>
        <w:ind w:left="360" w:firstLine="360"/>
        <w:rPr>
          <w:sz w:val="22"/>
          <w:szCs w:val="22"/>
          <w:u w:val="single"/>
        </w:rPr>
      </w:pPr>
      <w:r w:rsidRPr="00411B94">
        <w:rPr>
          <w:sz w:val="22"/>
          <w:szCs w:val="22"/>
        </w:rPr>
        <w:t xml:space="preserve">For a development to be considered for a reservation of Tax Credits, the entire Application package, including all exhibits, must be received by the Agency no later than </w:t>
      </w:r>
      <w:r w:rsidRPr="00411B94">
        <w:rPr>
          <w:b/>
          <w:sz w:val="22"/>
          <w:szCs w:val="22"/>
        </w:rPr>
        <w:t>3:00 p.m.</w:t>
      </w:r>
      <w:r w:rsidRPr="00411B94">
        <w:rPr>
          <w:sz w:val="22"/>
          <w:szCs w:val="22"/>
        </w:rPr>
        <w:t xml:space="preserve"> </w:t>
      </w:r>
      <w:r w:rsidR="00A40BA6" w:rsidRPr="00411B94">
        <w:rPr>
          <w:b/>
          <w:sz w:val="22"/>
          <w:szCs w:val="22"/>
        </w:rPr>
        <w:t xml:space="preserve">on </w:t>
      </w:r>
      <w:r w:rsidR="00083059" w:rsidRPr="00083059">
        <w:rPr>
          <w:b/>
          <w:color w:val="000000" w:themeColor="text1"/>
          <w:sz w:val="22"/>
          <w:szCs w:val="22"/>
        </w:rPr>
        <w:t xml:space="preserve">March 4, 2016 (or such other deadline as may be established by the Agency on its website). </w:t>
      </w:r>
      <w:r w:rsidR="00083059" w:rsidRPr="00083059">
        <w:rPr>
          <w:color w:val="000000" w:themeColor="text1"/>
          <w:sz w:val="22"/>
          <w:szCs w:val="22"/>
        </w:rPr>
        <w:t xml:space="preserve">Applications not received by the closing date of the submission cycle will not be considered (except that the Agency may provide supplemental allocations to qualified projects at any time).  </w:t>
      </w:r>
      <w:r w:rsidR="00083059" w:rsidRPr="00083059">
        <w:rPr>
          <w:b/>
          <w:color w:val="000000" w:themeColor="text1"/>
          <w:sz w:val="22"/>
          <w:szCs w:val="22"/>
        </w:rPr>
        <w:t xml:space="preserve">In advance of submitting the entire Application package on March 4, 2016, Applicants must submit an Intent to Submit a Tax Credit Application - Fact </w:t>
      </w:r>
      <w:proofErr w:type="gramStart"/>
      <w:r w:rsidR="00083059" w:rsidRPr="00083059">
        <w:rPr>
          <w:b/>
          <w:color w:val="000000" w:themeColor="text1"/>
          <w:sz w:val="22"/>
          <w:szCs w:val="22"/>
        </w:rPr>
        <w:t>Sheet  (</w:t>
      </w:r>
      <w:proofErr w:type="gramEnd"/>
      <w:r w:rsidR="00083059" w:rsidRPr="00083059">
        <w:rPr>
          <w:b/>
          <w:color w:val="000000" w:themeColor="text1"/>
          <w:sz w:val="22"/>
          <w:szCs w:val="22"/>
        </w:rPr>
        <w:t xml:space="preserve">see 2016 Guidelines for form) and Development Synopsis on or before January 9, 2016.   </w:t>
      </w:r>
      <w:r w:rsidR="00083059" w:rsidRPr="00083059">
        <w:rPr>
          <w:color w:val="000000" w:themeColor="text1"/>
          <w:sz w:val="22"/>
          <w:szCs w:val="22"/>
        </w:rPr>
        <w:t>This</w:t>
      </w:r>
      <w:r w:rsidR="007E4C55" w:rsidRPr="00411B94">
        <w:rPr>
          <w:sz w:val="22"/>
          <w:szCs w:val="22"/>
        </w:rPr>
        <w:t xml:space="preserve"> submission </w:t>
      </w:r>
      <w:r w:rsidR="00EE104E">
        <w:rPr>
          <w:sz w:val="22"/>
          <w:szCs w:val="22"/>
        </w:rPr>
        <w:t>is</w:t>
      </w:r>
      <w:r w:rsidR="007E4C55" w:rsidRPr="00411B94">
        <w:rPr>
          <w:sz w:val="22"/>
          <w:szCs w:val="22"/>
        </w:rPr>
        <w:t xml:space="preserve"> a mandatory requirement for the 2016 Tax Credit Program.</w:t>
      </w:r>
      <w:r w:rsidR="00524461" w:rsidRPr="00411B94">
        <w:rPr>
          <w:sz w:val="22"/>
          <w:szCs w:val="22"/>
        </w:rPr>
        <w:t xml:space="preserve">  </w:t>
      </w:r>
      <w:r w:rsidRPr="00411B94">
        <w:rPr>
          <w:sz w:val="22"/>
          <w:szCs w:val="22"/>
        </w:rPr>
        <w:t>The Agency will evaluate the Application</w:t>
      </w:r>
      <w:r w:rsidR="009E4B92" w:rsidRPr="00411B94">
        <w:rPr>
          <w:sz w:val="22"/>
          <w:szCs w:val="22"/>
        </w:rPr>
        <w:t>s</w:t>
      </w:r>
      <w:r w:rsidRPr="00411B94">
        <w:rPr>
          <w:sz w:val="22"/>
          <w:szCs w:val="22"/>
        </w:rPr>
        <w:t xml:space="preserve"> based upon the requirements set forth herein and may request additional information from Applicants at any time during the processing of an Application in its discretion.</w:t>
      </w:r>
      <w:r w:rsidRPr="00411B94">
        <w:rPr>
          <w:b/>
          <w:sz w:val="22"/>
          <w:szCs w:val="22"/>
        </w:rPr>
        <w:t xml:space="preserve">  </w:t>
      </w:r>
      <w:r w:rsidRPr="00411B94">
        <w:rPr>
          <w:sz w:val="22"/>
          <w:szCs w:val="22"/>
        </w:rPr>
        <w:t xml:space="preserve">Applications for additional </w:t>
      </w:r>
      <w:r w:rsidR="001A15C6" w:rsidRPr="00411B94">
        <w:rPr>
          <w:sz w:val="22"/>
          <w:szCs w:val="22"/>
        </w:rPr>
        <w:t xml:space="preserve">Tax Credits </w:t>
      </w:r>
      <w:r w:rsidRPr="00411B94">
        <w:rPr>
          <w:sz w:val="22"/>
          <w:szCs w:val="22"/>
        </w:rPr>
        <w:t xml:space="preserve">will be accepted </w:t>
      </w:r>
      <w:r w:rsidR="007D3F5A" w:rsidRPr="00411B94">
        <w:rPr>
          <w:sz w:val="22"/>
          <w:szCs w:val="22"/>
        </w:rPr>
        <w:t xml:space="preserve">at any time </w:t>
      </w:r>
      <w:r w:rsidRPr="00411B94">
        <w:rPr>
          <w:sz w:val="22"/>
          <w:szCs w:val="22"/>
        </w:rPr>
        <w:t>awarded on a first-come, first</w:t>
      </w:r>
      <w:r w:rsidR="00FF1CC8" w:rsidRPr="00411B94">
        <w:rPr>
          <w:sz w:val="22"/>
          <w:szCs w:val="22"/>
        </w:rPr>
        <w:t>-</w:t>
      </w:r>
      <w:r w:rsidR="00983F36" w:rsidRPr="00411B94">
        <w:rPr>
          <w:sz w:val="22"/>
          <w:szCs w:val="22"/>
        </w:rPr>
        <w:t>served basis to feasible A</w:t>
      </w:r>
      <w:r w:rsidRPr="00411B94">
        <w:rPr>
          <w:sz w:val="22"/>
          <w:szCs w:val="22"/>
        </w:rPr>
        <w:t xml:space="preserve">pplications until the Additional </w:t>
      </w:r>
      <w:r w:rsidR="001A15C6" w:rsidRPr="00411B94">
        <w:rPr>
          <w:sz w:val="22"/>
          <w:szCs w:val="22"/>
        </w:rPr>
        <w:t xml:space="preserve">Tax </w:t>
      </w:r>
      <w:r w:rsidRPr="00411B94">
        <w:rPr>
          <w:sz w:val="22"/>
          <w:szCs w:val="22"/>
        </w:rPr>
        <w:t>Credit Set-Aside is depleted.</w:t>
      </w:r>
    </w:p>
    <w:p w:rsidR="00491A05" w:rsidRPr="00411B94" w:rsidRDefault="00491A05" w:rsidP="00EC7619">
      <w:pPr>
        <w:tabs>
          <w:tab w:val="left" w:pos="360"/>
        </w:tabs>
        <w:spacing w:line="240" w:lineRule="auto"/>
        <w:ind w:left="360" w:firstLine="360"/>
        <w:rPr>
          <w:sz w:val="22"/>
          <w:szCs w:val="22"/>
        </w:rPr>
      </w:pPr>
    </w:p>
    <w:p w:rsidR="00CE0F08" w:rsidRPr="00411B94" w:rsidRDefault="00AE27E1" w:rsidP="00EC7619">
      <w:pPr>
        <w:tabs>
          <w:tab w:val="left" w:pos="360"/>
        </w:tabs>
        <w:spacing w:line="240" w:lineRule="auto"/>
        <w:ind w:left="360" w:firstLine="360"/>
        <w:rPr>
          <w:sz w:val="22"/>
          <w:szCs w:val="22"/>
        </w:rPr>
      </w:pPr>
      <w:r w:rsidRPr="00411B94">
        <w:rPr>
          <w:sz w:val="22"/>
          <w:szCs w:val="22"/>
        </w:rPr>
        <w:t xml:space="preserve">The </w:t>
      </w:r>
      <w:proofErr w:type="gramStart"/>
      <w:r w:rsidRPr="00411B94">
        <w:rPr>
          <w:sz w:val="22"/>
          <w:szCs w:val="22"/>
        </w:rPr>
        <w:t>entity</w:t>
      </w:r>
      <w:r w:rsidR="000B45B7" w:rsidRPr="00411B94">
        <w:rPr>
          <w:sz w:val="22"/>
          <w:szCs w:val="22"/>
        </w:rPr>
        <w:t>(</w:t>
      </w:r>
      <w:proofErr w:type="spellStart"/>
      <w:proofErr w:type="gramEnd"/>
      <w:r w:rsidR="000B45B7" w:rsidRPr="00411B94">
        <w:rPr>
          <w:sz w:val="22"/>
          <w:szCs w:val="22"/>
        </w:rPr>
        <w:t>ies</w:t>
      </w:r>
      <w:proofErr w:type="spellEnd"/>
      <w:r w:rsidR="000B45B7" w:rsidRPr="00411B94">
        <w:rPr>
          <w:sz w:val="22"/>
          <w:szCs w:val="22"/>
        </w:rPr>
        <w:t>)</w:t>
      </w:r>
      <w:r w:rsidRPr="00411B94">
        <w:rPr>
          <w:sz w:val="22"/>
          <w:szCs w:val="22"/>
        </w:rPr>
        <w:t xml:space="preserve"> identified </w:t>
      </w:r>
      <w:r w:rsidR="005F072D" w:rsidRPr="00411B94">
        <w:rPr>
          <w:sz w:val="22"/>
          <w:szCs w:val="22"/>
        </w:rPr>
        <w:t xml:space="preserve">as an </w:t>
      </w:r>
      <w:r w:rsidR="002D1116" w:rsidRPr="00411B94">
        <w:rPr>
          <w:sz w:val="22"/>
          <w:szCs w:val="22"/>
        </w:rPr>
        <w:t>Applicant</w:t>
      </w:r>
      <w:r w:rsidR="000B45B7" w:rsidRPr="00411B94">
        <w:rPr>
          <w:sz w:val="22"/>
          <w:szCs w:val="22"/>
        </w:rPr>
        <w:t>(s)</w:t>
      </w:r>
      <w:r w:rsidR="005F072D" w:rsidRPr="00411B94">
        <w:rPr>
          <w:sz w:val="22"/>
          <w:szCs w:val="22"/>
        </w:rPr>
        <w:t xml:space="preserve"> in the Application must have a general partner interest in the final ownership entity of the development.  The </w:t>
      </w:r>
      <w:r w:rsidR="00204149" w:rsidRPr="00411B94">
        <w:rPr>
          <w:sz w:val="22"/>
          <w:szCs w:val="22"/>
        </w:rPr>
        <w:t>A</w:t>
      </w:r>
      <w:r w:rsidR="005F072D" w:rsidRPr="00411B94">
        <w:rPr>
          <w:sz w:val="22"/>
          <w:szCs w:val="22"/>
        </w:rPr>
        <w:t>pplicant</w:t>
      </w:r>
      <w:r w:rsidR="000B45B7" w:rsidRPr="00411B94">
        <w:rPr>
          <w:sz w:val="22"/>
          <w:szCs w:val="22"/>
        </w:rPr>
        <w:t>(s)</w:t>
      </w:r>
      <w:r w:rsidR="005F072D" w:rsidRPr="00411B94">
        <w:rPr>
          <w:sz w:val="22"/>
          <w:szCs w:val="22"/>
        </w:rPr>
        <w:t xml:space="preserve"> must be actively involved in both the development and ongoing control and management of the development as evidenced in the partnership agreement governing </w:t>
      </w:r>
      <w:r w:rsidR="005F072D" w:rsidRPr="00411B94">
        <w:rPr>
          <w:sz w:val="22"/>
          <w:szCs w:val="22"/>
        </w:rPr>
        <w:lastRenderedPageBreak/>
        <w:t>the ownership entity for the development</w:t>
      </w:r>
      <w:r w:rsidR="00997179">
        <w:rPr>
          <w:sz w:val="22"/>
          <w:szCs w:val="22"/>
        </w:rPr>
        <w:t xml:space="preserve"> Applications</w:t>
      </w:r>
      <w:r w:rsidR="005F072D" w:rsidRPr="00411B94">
        <w:rPr>
          <w:sz w:val="22"/>
          <w:szCs w:val="22"/>
        </w:rPr>
        <w:t xml:space="preserve">. Sale, transfer or assignment of an </w:t>
      </w:r>
      <w:r w:rsidR="00204149" w:rsidRPr="00411B94">
        <w:rPr>
          <w:sz w:val="22"/>
          <w:szCs w:val="22"/>
        </w:rPr>
        <w:t>A</w:t>
      </w:r>
      <w:r w:rsidR="005F072D" w:rsidRPr="00411B94">
        <w:rPr>
          <w:sz w:val="22"/>
          <w:szCs w:val="22"/>
        </w:rPr>
        <w:t xml:space="preserve">pplicant’s interest in the proposed Tax Credit development is prohibited while the Application is </w:t>
      </w:r>
      <w:r w:rsidR="007145F1" w:rsidRPr="00411B94">
        <w:rPr>
          <w:sz w:val="22"/>
          <w:szCs w:val="22"/>
        </w:rPr>
        <w:t>pending</w:t>
      </w:r>
      <w:r w:rsidR="005F072D" w:rsidRPr="00411B94">
        <w:rPr>
          <w:sz w:val="22"/>
          <w:szCs w:val="22"/>
        </w:rPr>
        <w:t xml:space="preserve">. </w:t>
      </w:r>
      <w:r w:rsidR="007A6782" w:rsidRPr="00411B94">
        <w:rPr>
          <w:sz w:val="22"/>
          <w:szCs w:val="22"/>
        </w:rPr>
        <w:t xml:space="preserve">For </w:t>
      </w:r>
      <w:r w:rsidR="00AF1F86">
        <w:rPr>
          <w:sz w:val="22"/>
          <w:szCs w:val="22"/>
        </w:rPr>
        <w:t>2016</w:t>
      </w:r>
      <w:r w:rsidR="007A6782" w:rsidRPr="00411B94">
        <w:rPr>
          <w:sz w:val="22"/>
          <w:szCs w:val="22"/>
        </w:rPr>
        <w:t xml:space="preserve">, the Agency </w:t>
      </w:r>
      <w:r w:rsidR="002A3C95" w:rsidRPr="00411B94">
        <w:rPr>
          <w:sz w:val="22"/>
          <w:szCs w:val="22"/>
        </w:rPr>
        <w:t>may impose</w:t>
      </w:r>
      <w:r w:rsidR="007A6782" w:rsidRPr="00411B94">
        <w:rPr>
          <w:sz w:val="22"/>
          <w:szCs w:val="22"/>
        </w:rPr>
        <w:t xml:space="preserve"> a limit of </w:t>
      </w:r>
      <w:r w:rsidR="001A15C6" w:rsidRPr="00411B94">
        <w:rPr>
          <w:sz w:val="22"/>
          <w:szCs w:val="22"/>
        </w:rPr>
        <w:t xml:space="preserve">no more than six (6) total per year per entity serving as a general partner, either solely or as a co-general partner, or </w:t>
      </w:r>
      <w:r w:rsidR="007A6782" w:rsidRPr="00411B94">
        <w:rPr>
          <w:sz w:val="22"/>
          <w:szCs w:val="22"/>
        </w:rPr>
        <w:t xml:space="preserve">four (4) Applications per </w:t>
      </w:r>
      <w:r w:rsidR="00897800" w:rsidRPr="00411B94">
        <w:rPr>
          <w:sz w:val="22"/>
          <w:szCs w:val="22"/>
        </w:rPr>
        <w:t>Pool (as further described herein</w:t>
      </w:r>
      <w:r w:rsidR="001A15C6" w:rsidRPr="00411B94">
        <w:rPr>
          <w:sz w:val="22"/>
          <w:szCs w:val="22"/>
        </w:rPr>
        <w:t>) excluding Applications for Additional Tax Credits</w:t>
      </w:r>
      <w:r w:rsidR="007A6782" w:rsidRPr="00411B94">
        <w:rPr>
          <w:sz w:val="22"/>
          <w:szCs w:val="22"/>
        </w:rPr>
        <w:t>.</w:t>
      </w:r>
      <w:r w:rsidR="001562D5" w:rsidRPr="00411B94">
        <w:rPr>
          <w:sz w:val="22"/>
          <w:szCs w:val="22"/>
        </w:rPr>
        <w:t xml:space="preserve"> </w:t>
      </w:r>
      <w:r w:rsidR="00001ECF" w:rsidRPr="00411B94">
        <w:rPr>
          <w:sz w:val="22"/>
          <w:szCs w:val="22"/>
        </w:rPr>
        <w:t xml:space="preserve">Depending on application volume, the Agency may limit the number or size of awards per developer.  </w:t>
      </w:r>
      <w:r w:rsidR="00B7377B" w:rsidRPr="00411B94">
        <w:rPr>
          <w:sz w:val="22"/>
          <w:szCs w:val="22"/>
        </w:rPr>
        <w:t xml:space="preserve">Furthermore, the Agency may require an Applicant to submit in a subsequent </w:t>
      </w:r>
      <w:r w:rsidR="00001ECF" w:rsidRPr="00411B94">
        <w:rPr>
          <w:sz w:val="22"/>
          <w:szCs w:val="22"/>
        </w:rPr>
        <w:t xml:space="preserve">year </w:t>
      </w:r>
      <w:r w:rsidR="00B7377B" w:rsidRPr="00411B94">
        <w:rPr>
          <w:sz w:val="22"/>
          <w:szCs w:val="22"/>
        </w:rPr>
        <w:t>a</w:t>
      </w:r>
      <w:r w:rsidR="00F86257" w:rsidRPr="00411B94">
        <w:rPr>
          <w:sz w:val="22"/>
          <w:szCs w:val="22"/>
        </w:rPr>
        <w:t>ny</w:t>
      </w:r>
      <w:r w:rsidR="00B7377B" w:rsidRPr="00411B94">
        <w:rPr>
          <w:sz w:val="22"/>
          <w:szCs w:val="22"/>
        </w:rPr>
        <w:t xml:space="preserve"> proposed development</w:t>
      </w:r>
      <w:r w:rsidR="00F86257" w:rsidRPr="00411B94">
        <w:rPr>
          <w:sz w:val="22"/>
          <w:szCs w:val="22"/>
        </w:rPr>
        <w:t xml:space="preserve"> which is part</w:t>
      </w:r>
      <w:r w:rsidR="00B7377B" w:rsidRPr="00411B94">
        <w:rPr>
          <w:sz w:val="22"/>
          <w:szCs w:val="22"/>
        </w:rPr>
        <w:t xml:space="preserve"> of a </w:t>
      </w:r>
      <w:r w:rsidR="00F86257" w:rsidRPr="00411B94">
        <w:rPr>
          <w:sz w:val="22"/>
          <w:szCs w:val="22"/>
        </w:rPr>
        <w:t xml:space="preserve">previously approved </w:t>
      </w:r>
      <w:r w:rsidR="00B7377B" w:rsidRPr="00411B94">
        <w:rPr>
          <w:sz w:val="22"/>
          <w:szCs w:val="22"/>
        </w:rPr>
        <w:t xml:space="preserve">multiple phase project </w:t>
      </w:r>
      <w:r w:rsidR="00F86257" w:rsidRPr="00411B94">
        <w:rPr>
          <w:sz w:val="22"/>
          <w:szCs w:val="22"/>
        </w:rPr>
        <w:t xml:space="preserve">that </w:t>
      </w:r>
      <w:r w:rsidR="00B7377B" w:rsidRPr="00411B94">
        <w:rPr>
          <w:sz w:val="22"/>
          <w:szCs w:val="22"/>
        </w:rPr>
        <w:t xml:space="preserve">has not yet </w:t>
      </w:r>
      <w:proofErr w:type="gramStart"/>
      <w:r w:rsidR="00B7377B" w:rsidRPr="00411B94">
        <w:rPr>
          <w:sz w:val="22"/>
          <w:szCs w:val="22"/>
        </w:rPr>
        <w:t>proce</w:t>
      </w:r>
      <w:r w:rsidR="0060174C" w:rsidRPr="00411B94">
        <w:rPr>
          <w:sz w:val="22"/>
          <w:szCs w:val="22"/>
        </w:rPr>
        <w:t>e</w:t>
      </w:r>
      <w:r w:rsidR="00B7377B" w:rsidRPr="00411B94">
        <w:rPr>
          <w:sz w:val="22"/>
          <w:szCs w:val="22"/>
        </w:rPr>
        <w:t>d</w:t>
      </w:r>
      <w:r w:rsidR="00F86257" w:rsidRPr="00411B94">
        <w:rPr>
          <w:sz w:val="22"/>
          <w:szCs w:val="22"/>
        </w:rPr>
        <w:t>ed</w:t>
      </w:r>
      <w:proofErr w:type="gramEnd"/>
      <w:r w:rsidR="00B7377B" w:rsidRPr="00411B94">
        <w:rPr>
          <w:sz w:val="22"/>
          <w:szCs w:val="22"/>
        </w:rPr>
        <w:t xml:space="preserve"> to a closing.  </w:t>
      </w:r>
      <w:r w:rsidR="007145F1" w:rsidRPr="00411B94">
        <w:rPr>
          <w:sz w:val="22"/>
          <w:szCs w:val="22"/>
        </w:rPr>
        <w:t>After reservation of Tax Credits, any s</w:t>
      </w:r>
      <w:r w:rsidR="005F072D" w:rsidRPr="00411B94">
        <w:rPr>
          <w:sz w:val="22"/>
          <w:szCs w:val="22"/>
        </w:rPr>
        <w:t>uch transfers, sales and assignments</w:t>
      </w:r>
      <w:r w:rsidR="007145F1" w:rsidRPr="00411B94">
        <w:rPr>
          <w:sz w:val="22"/>
          <w:szCs w:val="22"/>
        </w:rPr>
        <w:t xml:space="preserve"> </w:t>
      </w:r>
      <w:r w:rsidR="005F072D" w:rsidRPr="00411B94">
        <w:rPr>
          <w:sz w:val="22"/>
          <w:szCs w:val="22"/>
        </w:rPr>
        <w:t xml:space="preserve">prior to placement in service and issuance of an </w:t>
      </w:r>
      <w:smartTag w:uri="urn:schemas-microsoft-com:office:smarttags" w:element="stockticker">
        <w:r w:rsidR="005F072D" w:rsidRPr="00411B94">
          <w:rPr>
            <w:sz w:val="22"/>
            <w:szCs w:val="22"/>
          </w:rPr>
          <w:t>IRS</w:t>
        </w:r>
      </w:smartTag>
      <w:r w:rsidR="005F072D" w:rsidRPr="00411B94">
        <w:rPr>
          <w:sz w:val="22"/>
          <w:szCs w:val="22"/>
        </w:rPr>
        <w:t xml:space="preserve"> Form 8609 require prior written approval by Agency </w:t>
      </w:r>
      <w:r w:rsidR="006945E2" w:rsidRPr="00411B94">
        <w:rPr>
          <w:sz w:val="22"/>
          <w:szCs w:val="22"/>
        </w:rPr>
        <w:t>staff</w:t>
      </w:r>
      <w:r w:rsidR="005F072D" w:rsidRPr="00411B94">
        <w:rPr>
          <w:sz w:val="22"/>
          <w:szCs w:val="22"/>
        </w:rPr>
        <w:t xml:space="preserve"> </w:t>
      </w:r>
      <w:r w:rsidR="0014597B" w:rsidRPr="00411B94">
        <w:rPr>
          <w:sz w:val="22"/>
          <w:szCs w:val="22"/>
        </w:rPr>
        <w:t xml:space="preserve">and </w:t>
      </w:r>
      <w:r w:rsidR="005F072D" w:rsidRPr="00411B94">
        <w:rPr>
          <w:sz w:val="22"/>
          <w:szCs w:val="22"/>
        </w:rPr>
        <w:t>may require submission of a new Application</w:t>
      </w:r>
      <w:r w:rsidR="00FF1CC8" w:rsidRPr="00411B94">
        <w:rPr>
          <w:sz w:val="22"/>
          <w:szCs w:val="22"/>
        </w:rPr>
        <w:t>, additional processing fees</w:t>
      </w:r>
      <w:r w:rsidR="005F072D" w:rsidRPr="00411B94">
        <w:rPr>
          <w:sz w:val="22"/>
          <w:szCs w:val="22"/>
        </w:rPr>
        <w:t xml:space="preserve"> and/or may result in recapture of Tax Credits by the Agency.</w:t>
      </w:r>
      <w:r w:rsidR="00377947" w:rsidRPr="00411B94">
        <w:rPr>
          <w:sz w:val="22"/>
          <w:szCs w:val="22"/>
        </w:rPr>
        <w:t xml:space="preserve">  </w:t>
      </w:r>
    </w:p>
    <w:p w:rsidR="00CE0F08" w:rsidRPr="00411B94" w:rsidRDefault="00CE0F08" w:rsidP="00CE0F08">
      <w:pPr>
        <w:widowControl/>
        <w:adjustRightInd/>
        <w:spacing w:line="240" w:lineRule="auto"/>
        <w:jc w:val="left"/>
        <w:textAlignment w:val="auto"/>
        <w:rPr>
          <w:sz w:val="22"/>
          <w:szCs w:val="22"/>
        </w:rPr>
      </w:pPr>
    </w:p>
    <w:p w:rsidR="005F072D" w:rsidRPr="00411B94" w:rsidRDefault="00C13773" w:rsidP="001B5101">
      <w:pPr>
        <w:spacing w:line="240" w:lineRule="auto"/>
        <w:ind w:left="360" w:firstLine="360"/>
        <w:rPr>
          <w:sz w:val="22"/>
          <w:szCs w:val="22"/>
        </w:rPr>
      </w:pPr>
      <w:r w:rsidRPr="00411B94">
        <w:rPr>
          <w:sz w:val="22"/>
          <w:szCs w:val="22"/>
        </w:rPr>
        <w:t>The</w:t>
      </w:r>
      <w:r w:rsidR="005F072D" w:rsidRPr="00411B94">
        <w:rPr>
          <w:sz w:val="22"/>
          <w:szCs w:val="22"/>
        </w:rPr>
        <w:t xml:space="preserve"> </w:t>
      </w:r>
      <w:r w:rsidR="0032377F" w:rsidRPr="00411B94">
        <w:rPr>
          <w:sz w:val="22"/>
          <w:szCs w:val="22"/>
        </w:rPr>
        <w:t xml:space="preserve">Application </w:t>
      </w:r>
      <w:r w:rsidR="005F072D" w:rsidRPr="00411B94">
        <w:rPr>
          <w:sz w:val="22"/>
          <w:szCs w:val="22"/>
        </w:rPr>
        <w:t>package submitted for review must include all of the information in the order set forth in</w:t>
      </w:r>
      <w:r w:rsidR="0032377F" w:rsidRPr="00411B94">
        <w:rPr>
          <w:sz w:val="22"/>
          <w:szCs w:val="22"/>
        </w:rPr>
        <w:t xml:space="preserve"> </w:t>
      </w:r>
      <w:r w:rsidR="005F072D" w:rsidRPr="00411B94">
        <w:rPr>
          <w:sz w:val="22"/>
          <w:szCs w:val="22"/>
        </w:rPr>
        <w:t xml:space="preserve">the Application Checklist. </w:t>
      </w:r>
      <w:r w:rsidR="007E4C55" w:rsidRPr="00411B94">
        <w:rPr>
          <w:b/>
          <w:sz w:val="22"/>
          <w:szCs w:val="22"/>
        </w:rPr>
        <w:t>Any material deficiency in the Application or omission from the mandatory submissions set forth in the Application Checklist may result in immediate rejection</w:t>
      </w:r>
      <w:r w:rsidR="005F072D" w:rsidRPr="00411B94">
        <w:rPr>
          <w:sz w:val="22"/>
          <w:szCs w:val="22"/>
        </w:rPr>
        <w:t>.  In addition, the Application must meet program eligibility requirements set forth in the Code.  Applications and required exhibits may not be submitted via fax or email to the Agency</w:t>
      </w:r>
      <w:r w:rsidR="009D7489" w:rsidRPr="00411B94">
        <w:rPr>
          <w:sz w:val="22"/>
          <w:szCs w:val="22"/>
        </w:rPr>
        <w:t>.</w:t>
      </w:r>
      <w:r w:rsidR="00AF45D0" w:rsidRPr="00411B94">
        <w:rPr>
          <w:sz w:val="22"/>
          <w:szCs w:val="22"/>
        </w:rPr>
        <w:t xml:space="preserve">  </w:t>
      </w:r>
      <w:r w:rsidR="000E1EBA" w:rsidRPr="00411B94">
        <w:rPr>
          <w:sz w:val="22"/>
          <w:szCs w:val="22"/>
        </w:rPr>
        <w:t xml:space="preserve">Any Application which does not contain sufficient information to be reviewed will be returned. </w:t>
      </w:r>
      <w:r w:rsidR="002A3C95" w:rsidRPr="00411B94">
        <w:rPr>
          <w:sz w:val="22"/>
          <w:szCs w:val="22"/>
        </w:rPr>
        <w:t xml:space="preserve"> </w:t>
      </w:r>
      <w:r w:rsidR="00AF45D0" w:rsidRPr="00411B94">
        <w:rPr>
          <w:sz w:val="22"/>
          <w:szCs w:val="22"/>
        </w:rPr>
        <w:t>The Agency reserves the right to reject or return any Application</w:t>
      </w:r>
      <w:r w:rsidR="0014597B" w:rsidRPr="00411B94">
        <w:rPr>
          <w:sz w:val="22"/>
          <w:szCs w:val="22"/>
        </w:rPr>
        <w:t xml:space="preserve"> at any time during the Application processing period</w:t>
      </w:r>
      <w:r w:rsidR="00AF45D0" w:rsidRPr="00411B94">
        <w:rPr>
          <w:sz w:val="22"/>
          <w:szCs w:val="22"/>
        </w:rPr>
        <w:t>.</w:t>
      </w:r>
    </w:p>
    <w:p w:rsidR="005F072D" w:rsidRPr="00411B94" w:rsidRDefault="005F072D" w:rsidP="00E94493">
      <w:pPr>
        <w:spacing w:line="240" w:lineRule="auto"/>
        <w:rPr>
          <w:sz w:val="22"/>
          <w:szCs w:val="22"/>
        </w:rPr>
      </w:pPr>
    </w:p>
    <w:p w:rsidR="005F072D" w:rsidRPr="00411B94" w:rsidRDefault="005F072D" w:rsidP="001B5101">
      <w:pPr>
        <w:spacing w:line="240" w:lineRule="auto"/>
        <w:ind w:left="360" w:firstLine="360"/>
        <w:rPr>
          <w:sz w:val="22"/>
          <w:szCs w:val="22"/>
          <w:u w:color="FF0000"/>
        </w:rPr>
      </w:pPr>
      <w:r w:rsidRPr="00411B94">
        <w:rPr>
          <w:b/>
          <w:sz w:val="22"/>
          <w:szCs w:val="22"/>
        </w:rPr>
        <w:t>An</w:t>
      </w:r>
      <w:r w:rsidR="007F79E3" w:rsidRPr="00411B94">
        <w:rPr>
          <w:b/>
          <w:sz w:val="22"/>
          <w:szCs w:val="22"/>
        </w:rPr>
        <w:t>y</w:t>
      </w:r>
      <w:r w:rsidRPr="00411B94">
        <w:rPr>
          <w:b/>
          <w:sz w:val="22"/>
          <w:szCs w:val="22"/>
        </w:rPr>
        <w:t xml:space="preserve"> Application, once received by the Agency, may not be altered, amended or modified except </w:t>
      </w:r>
      <w:r w:rsidR="0065064F" w:rsidRPr="00411B94">
        <w:rPr>
          <w:b/>
          <w:sz w:val="22"/>
          <w:szCs w:val="22"/>
        </w:rPr>
        <w:t>as approved</w:t>
      </w:r>
      <w:r w:rsidRPr="00411B94">
        <w:rPr>
          <w:b/>
          <w:sz w:val="22"/>
          <w:szCs w:val="22"/>
        </w:rPr>
        <w:t xml:space="preserve"> by staff during underwriting and program review or except for developments participating in an Agency</w:t>
      </w:r>
      <w:r w:rsidR="007145F1" w:rsidRPr="00411B94">
        <w:rPr>
          <w:b/>
          <w:sz w:val="22"/>
          <w:szCs w:val="22"/>
        </w:rPr>
        <w:t xml:space="preserve"> financing</w:t>
      </w:r>
      <w:r w:rsidRPr="00411B94">
        <w:rPr>
          <w:b/>
          <w:sz w:val="22"/>
          <w:szCs w:val="22"/>
        </w:rPr>
        <w:t xml:space="preserve"> program, which may undergo subsequent substitute processing and ranking by the Agency</w:t>
      </w:r>
      <w:r w:rsidR="00AF4542" w:rsidRPr="00411B94">
        <w:rPr>
          <w:b/>
          <w:sz w:val="22"/>
          <w:szCs w:val="22"/>
        </w:rPr>
        <w:t>.</w:t>
      </w:r>
      <w:r w:rsidRPr="00411B94">
        <w:rPr>
          <w:b/>
          <w:sz w:val="22"/>
          <w:szCs w:val="22"/>
        </w:rPr>
        <w:t xml:space="preserve">  </w:t>
      </w:r>
      <w:r w:rsidRPr="00411B94">
        <w:rPr>
          <w:sz w:val="22"/>
          <w:szCs w:val="22"/>
        </w:rPr>
        <w:t>Applications will be ranked based only upon the information contained in the Application package</w:t>
      </w:r>
      <w:r w:rsidR="0072738C" w:rsidRPr="00411B94">
        <w:rPr>
          <w:sz w:val="22"/>
          <w:szCs w:val="22"/>
        </w:rPr>
        <w:t>.</w:t>
      </w:r>
      <w:r w:rsidRPr="00411B94">
        <w:rPr>
          <w:sz w:val="22"/>
          <w:szCs w:val="22"/>
        </w:rPr>
        <w:t xml:space="preserve">  Agency staff will review the development’s construction costs, fees, sources of funds, operating income and expenses to determine the development’s financial feasibility and long term viability. </w:t>
      </w:r>
      <w:r w:rsidR="00D45B92" w:rsidRPr="00411B94">
        <w:rPr>
          <w:sz w:val="22"/>
          <w:szCs w:val="22"/>
        </w:rPr>
        <w:t xml:space="preserve">The Agency may review local </w:t>
      </w:r>
      <w:r w:rsidR="00864E44" w:rsidRPr="00411B94">
        <w:rPr>
          <w:sz w:val="22"/>
          <w:szCs w:val="22"/>
        </w:rPr>
        <w:t xml:space="preserve">and/or </w:t>
      </w:r>
      <w:r w:rsidR="00D45B92" w:rsidRPr="00411B94">
        <w:rPr>
          <w:sz w:val="22"/>
          <w:szCs w:val="22"/>
        </w:rPr>
        <w:t xml:space="preserve">state analysis of impediments to fair housing prepared in connection with federal funding programs and </w:t>
      </w:r>
      <w:r w:rsidR="00D45B92" w:rsidRPr="00411B94">
        <w:rPr>
          <w:b/>
          <w:sz w:val="22"/>
          <w:szCs w:val="22"/>
        </w:rPr>
        <w:t xml:space="preserve">may prioritize </w:t>
      </w:r>
      <w:r w:rsidR="00864E44" w:rsidRPr="00411B94">
        <w:rPr>
          <w:b/>
          <w:sz w:val="22"/>
          <w:szCs w:val="22"/>
        </w:rPr>
        <w:t>A</w:t>
      </w:r>
      <w:r w:rsidR="00D45B92" w:rsidRPr="00411B94">
        <w:rPr>
          <w:b/>
          <w:sz w:val="22"/>
          <w:szCs w:val="22"/>
        </w:rPr>
        <w:t>pplications which evidence opportunities to affirmatively further fair housing</w:t>
      </w:r>
      <w:r w:rsidR="00D45B92" w:rsidRPr="00411B94">
        <w:rPr>
          <w:sz w:val="22"/>
          <w:szCs w:val="22"/>
        </w:rPr>
        <w:t xml:space="preserve">. </w:t>
      </w:r>
      <w:r w:rsidR="00864E44" w:rsidRPr="00411B94">
        <w:rPr>
          <w:sz w:val="22"/>
          <w:szCs w:val="22"/>
        </w:rPr>
        <w:t>Applications</w:t>
      </w:r>
      <w:r w:rsidRPr="00411B94">
        <w:rPr>
          <w:sz w:val="22"/>
          <w:szCs w:val="22"/>
        </w:rPr>
        <w:t xml:space="preserve"> that </w:t>
      </w:r>
      <w:r w:rsidR="00D000EF" w:rsidRPr="00411B94">
        <w:rPr>
          <w:sz w:val="22"/>
          <w:szCs w:val="22"/>
        </w:rPr>
        <w:t>meet all threshold requirements</w:t>
      </w:r>
      <w:r w:rsidR="0074052E" w:rsidRPr="00411B94">
        <w:rPr>
          <w:sz w:val="22"/>
          <w:szCs w:val="22"/>
        </w:rPr>
        <w:t>, need and marketability</w:t>
      </w:r>
      <w:r w:rsidR="00D000EF" w:rsidRPr="00411B94">
        <w:rPr>
          <w:sz w:val="22"/>
          <w:szCs w:val="22"/>
        </w:rPr>
        <w:t xml:space="preserve"> and </w:t>
      </w:r>
      <w:r w:rsidRPr="00411B94">
        <w:rPr>
          <w:sz w:val="22"/>
          <w:szCs w:val="22"/>
        </w:rPr>
        <w:t xml:space="preserve">are financially feasible and viable will then be ranked according to the Selection Criteria.  Applications that </w:t>
      </w:r>
      <w:r w:rsidR="00D000EF" w:rsidRPr="00411B94">
        <w:rPr>
          <w:sz w:val="22"/>
          <w:szCs w:val="22"/>
        </w:rPr>
        <w:t xml:space="preserve">do not meet threshold </w:t>
      </w:r>
      <w:r w:rsidR="006945E2" w:rsidRPr="00411B94">
        <w:rPr>
          <w:sz w:val="22"/>
          <w:szCs w:val="22"/>
        </w:rPr>
        <w:t>requirements</w:t>
      </w:r>
      <w:r w:rsidR="00BA2159" w:rsidRPr="00411B94">
        <w:rPr>
          <w:sz w:val="22"/>
          <w:szCs w:val="22"/>
        </w:rPr>
        <w:t>,</w:t>
      </w:r>
      <w:r w:rsidR="007F79E3" w:rsidRPr="00411B94">
        <w:rPr>
          <w:sz w:val="22"/>
          <w:szCs w:val="22"/>
        </w:rPr>
        <w:t xml:space="preserve"> </w:t>
      </w:r>
      <w:r w:rsidRPr="00411B94">
        <w:rPr>
          <w:sz w:val="22"/>
          <w:szCs w:val="22"/>
        </w:rPr>
        <w:t>are financially infeasible</w:t>
      </w:r>
      <w:r w:rsidR="002E586E" w:rsidRPr="00411B94">
        <w:rPr>
          <w:sz w:val="22"/>
          <w:szCs w:val="22"/>
        </w:rPr>
        <w:t>,</w:t>
      </w:r>
      <w:r w:rsidRPr="00411B94">
        <w:rPr>
          <w:sz w:val="22"/>
          <w:szCs w:val="22"/>
        </w:rPr>
        <w:t xml:space="preserve"> do not demonstrate long term viability</w:t>
      </w:r>
      <w:r w:rsidR="002E586E" w:rsidRPr="00411B94">
        <w:rPr>
          <w:sz w:val="22"/>
          <w:szCs w:val="22"/>
        </w:rPr>
        <w:t>, or which exceed the maximum number of Applications per Applicant</w:t>
      </w:r>
      <w:r w:rsidRPr="00411B94">
        <w:rPr>
          <w:sz w:val="22"/>
          <w:szCs w:val="22"/>
        </w:rPr>
        <w:t xml:space="preserve"> may be returned at any time.  The Agency </w:t>
      </w:r>
      <w:r w:rsidR="003A5245" w:rsidRPr="00411B94">
        <w:rPr>
          <w:sz w:val="22"/>
          <w:szCs w:val="22"/>
        </w:rPr>
        <w:t xml:space="preserve">also </w:t>
      </w:r>
      <w:r w:rsidRPr="00411B94">
        <w:rPr>
          <w:sz w:val="22"/>
          <w:szCs w:val="22"/>
        </w:rPr>
        <w:t xml:space="preserve">reserves the right, in its sole discretion, to reject any Application in the event that the costs </w:t>
      </w:r>
      <w:r w:rsidR="00846BCB" w:rsidRPr="00411B94">
        <w:rPr>
          <w:sz w:val="22"/>
          <w:szCs w:val="22"/>
        </w:rPr>
        <w:t xml:space="preserve">or fees </w:t>
      </w:r>
      <w:r w:rsidRPr="00411B94">
        <w:rPr>
          <w:sz w:val="22"/>
          <w:szCs w:val="22"/>
        </w:rPr>
        <w:t xml:space="preserve">associated with the proposed development are deemed </w:t>
      </w:r>
      <w:r w:rsidR="005C3247" w:rsidRPr="00411B94">
        <w:rPr>
          <w:sz w:val="22"/>
          <w:szCs w:val="22"/>
        </w:rPr>
        <w:t xml:space="preserve">to be </w:t>
      </w:r>
      <w:r w:rsidRPr="00411B94">
        <w:rPr>
          <w:sz w:val="22"/>
          <w:szCs w:val="22"/>
        </w:rPr>
        <w:t>excessive or unreasonable.</w:t>
      </w:r>
      <w:r w:rsidR="00512430" w:rsidRPr="00411B94">
        <w:rPr>
          <w:sz w:val="22"/>
          <w:szCs w:val="22"/>
        </w:rPr>
        <w:t xml:space="preserve">  </w:t>
      </w:r>
      <w:r w:rsidR="00512430" w:rsidRPr="00411B94">
        <w:rPr>
          <w:sz w:val="22"/>
          <w:szCs w:val="22"/>
          <w:u w:color="FF0000"/>
        </w:rPr>
        <w:t xml:space="preserve">Additionally, the Agency may discontinue processing any Application if the Agency determines in its sole discretion that the development will not be able to receive a reservation of Tax Credits due to the oversubscription of Tax Credits in any </w:t>
      </w:r>
      <w:r w:rsidR="00FA5D03" w:rsidRPr="00411B94">
        <w:rPr>
          <w:sz w:val="22"/>
          <w:szCs w:val="22"/>
          <w:u w:color="FF0000"/>
        </w:rPr>
        <w:t>Set-Aside</w:t>
      </w:r>
      <w:r w:rsidR="00B86286" w:rsidRPr="00411B94">
        <w:rPr>
          <w:sz w:val="22"/>
          <w:szCs w:val="22"/>
          <w:u w:color="FF0000"/>
        </w:rPr>
        <w:t>, Pool or Preference</w:t>
      </w:r>
      <w:r w:rsidR="00512430" w:rsidRPr="00411B94">
        <w:rPr>
          <w:sz w:val="22"/>
          <w:szCs w:val="22"/>
          <w:u w:color="FF0000"/>
        </w:rPr>
        <w:t xml:space="preserve">. </w:t>
      </w:r>
    </w:p>
    <w:p w:rsidR="005F072D" w:rsidRPr="00411B94" w:rsidRDefault="005F072D" w:rsidP="00E94493">
      <w:pPr>
        <w:spacing w:line="240" w:lineRule="auto"/>
        <w:rPr>
          <w:sz w:val="22"/>
          <w:szCs w:val="22"/>
        </w:rPr>
      </w:pPr>
    </w:p>
    <w:p w:rsidR="005F072D" w:rsidRPr="00411B94" w:rsidRDefault="005F072D" w:rsidP="001B5101">
      <w:pPr>
        <w:spacing w:line="240" w:lineRule="auto"/>
        <w:ind w:left="360" w:firstLine="360"/>
        <w:rPr>
          <w:sz w:val="22"/>
          <w:szCs w:val="22"/>
        </w:rPr>
      </w:pPr>
      <w:r w:rsidRPr="00411B94">
        <w:rPr>
          <w:sz w:val="22"/>
          <w:szCs w:val="22"/>
        </w:rPr>
        <w:t xml:space="preserve">Upon review of the Application, Agency staff may, but is under no obligation to, </w:t>
      </w:r>
      <w:proofErr w:type="gramStart"/>
      <w:r w:rsidRPr="00411B94">
        <w:rPr>
          <w:sz w:val="22"/>
          <w:szCs w:val="22"/>
        </w:rPr>
        <w:t>advise</w:t>
      </w:r>
      <w:proofErr w:type="gramEnd"/>
      <w:r w:rsidRPr="00411B94">
        <w:rPr>
          <w:sz w:val="22"/>
          <w:szCs w:val="22"/>
        </w:rPr>
        <w:t xml:space="preserve"> the </w:t>
      </w:r>
      <w:r w:rsidR="002E586E" w:rsidRPr="00411B94">
        <w:rPr>
          <w:sz w:val="22"/>
          <w:szCs w:val="22"/>
        </w:rPr>
        <w:t>A</w:t>
      </w:r>
      <w:r w:rsidRPr="00411B94">
        <w:rPr>
          <w:sz w:val="22"/>
          <w:szCs w:val="22"/>
        </w:rPr>
        <w:t xml:space="preserve">pplicant of incongruities, discrepancies or incomplete items and may allow the </w:t>
      </w:r>
      <w:r w:rsidR="002E586E" w:rsidRPr="00411B94">
        <w:rPr>
          <w:sz w:val="22"/>
          <w:szCs w:val="22"/>
        </w:rPr>
        <w:t>A</w:t>
      </w:r>
      <w:r w:rsidRPr="00411B94">
        <w:rPr>
          <w:sz w:val="22"/>
          <w:szCs w:val="22"/>
        </w:rPr>
        <w:t xml:space="preserve">pplicant to clarify or supplement the original submission. Such requests will be made in writing to the </w:t>
      </w:r>
      <w:r w:rsidR="002E586E" w:rsidRPr="00411B94">
        <w:rPr>
          <w:sz w:val="22"/>
          <w:szCs w:val="22"/>
        </w:rPr>
        <w:t>A</w:t>
      </w:r>
      <w:r w:rsidRPr="00411B94">
        <w:rPr>
          <w:sz w:val="22"/>
          <w:szCs w:val="22"/>
        </w:rPr>
        <w:t>pplicant and response will be required within the timeframe set forth therein</w:t>
      </w:r>
      <w:r w:rsidR="00846BCB" w:rsidRPr="00411B94">
        <w:rPr>
          <w:sz w:val="22"/>
          <w:szCs w:val="22"/>
        </w:rPr>
        <w:t>,</w:t>
      </w:r>
      <w:r w:rsidRPr="00411B94">
        <w:rPr>
          <w:sz w:val="22"/>
          <w:szCs w:val="22"/>
        </w:rPr>
        <w:t xml:space="preserve"> which will generally be no later than five business days from notification by staff. </w:t>
      </w:r>
      <w:r w:rsidR="005C3247" w:rsidRPr="00411B94">
        <w:rPr>
          <w:sz w:val="22"/>
          <w:szCs w:val="22"/>
        </w:rPr>
        <w:t>Applicants</w:t>
      </w:r>
      <w:r w:rsidRPr="00411B94">
        <w:rPr>
          <w:sz w:val="22"/>
          <w:szCs w:val="22"/>
        </w:rPr>
        <w:t xml:space="preserve"> are urged to review their original Applications carefully prior to submission to the Agency.  Correction</w:t>
      </w:r>
      <w:r w:rsidR="007D44F5" w:rsidRPr="00411B94">
        <w:rPr>
          <w:sz w:val="22"/>
          <w:szCs w:val="22"/>
        </w:rPr>
        <w:t>s</w:t>
      </w:r>
      <w:r w:rsidRPr="00411B94">
        <w:rPr>
          <w:sz w:val="22"/>
          <w:szCs w:val="22"/>
        </w:rPr>
        <w:t xml:space="preserve"> allowed during the staff review process will neither include replacement, substitution or amendment of material items used by staff in the ranking of an Application nor remedy the scoring of an Application as an incomplete submission</w:t>
      </w:r>
      <w:r w:rsidR="00846BCB" w:rsidRPr="00411B94">
        <w:rPr>
          <w:sz w:val="22"/>
          <w:szCs w:val="22"/>
        </w:rPr>
        <w:t xml:space="preserve">.  </w:t>
      </w:r>
      <w:r w:rsidRPr="00411B94">
        <w:rPr>
          <w:sz w:val="22"/>
          <w:szCs w:val="22"/>
        </w:rPr>
        <w:t xml:space="preserve">See the </w:t>
      </w:r>
      <w:r w:rsidR="00AF1F86">
        <w:rPr>
          <w:sz w:val="22"/>
          <w:szCs w:val="22"/>
        </w:rPr>
        <w:t>2016</w:t>
      </w:r>
      <w:r w:rsidR="00A81F5C" w:rsidRPr="00411B94">
        <w:rPr>
          <w:sz w:val="22"/>
          <w:szCs w:val="22"/>
        </w:rPr>
        <w:t xml:space="preserve"> </w:t>
      </w:r>
      <w:r w:rsidRPr="00411B94">
        <w:rPr>
          <w:sz w:val="22"/>
          <w:szCs w:val="22"/>
        </w:rPr>
        <w:t>Guidelines for additional guidance and information about processing Applications.</w:t>
      </w:r>
    </w:p>
    <w:p w:rsidR="0014597B" w:rsidRPr="00411B94" w:rsidRDefault="0014597B" w:rsidP="001B5101">
      <w:pPr>
        <w:spacing w:line="240" w:lineRule="auto"/>
        <w:ind w:left="360" w:firstLine="360"/>
        <w:rPr>
          <w:sz w:val="22"/>
          <w:szCs w:val="22"/>
        </w:rPr>
      </w:pPr>
    </w:p>
    <w:p w:rsidR="00A7697B" w:rsidRPr="00292EF5" w:rsidRDefault="0014597B" w:rsidP="00276C37">
      <w:pPr>
        <w:spacing w:line="240" w:lineRule="auto"/>
        <w:ind w:left="400" w:firstLine="300"/>
        <w:rPr>
          <w:sz w:val="22"/>
          <w:szCs w:val="22"/>
        </w:rPr>
      </w:pPr>
      <w:r w:rsidRPr="00292EF5">
        <w:rPr>
          <w:sz w:val="22"/>
          <w:szCs w:val="22"/>
        </w:rPr>
        <w:t>Notwithstanding the above, Agency staff m</w:t>
      </w:r>
      <w:r w:rsidR="00491A05" w:rsidRPr="00292EF5">
        <w:rPr>
          <w:sz w:val="22"/>
          <w:szCs w:val="22"/>
        </w:rPr>
        <w:t>a</w:t>
      </w:r>
      <w:r w:rsidRPr="00292EF5">
        <w:rPr>
          <w:sz w:val="22"/>
          <w:szCs w:val="22"/>
        </w:rPr>
        <w:t>y take any actions deemed necessary by the Agency to process Applications</w:t>
      </w:r>
      <w:r w:rsidR="00A7697B" w:rsidRPr="00292EF5">
        <w:rPr>
          <w:sz w:val="22"/>
          <w:szCs w:val="22"/>
        </w:rPr>
        <w:t xml:space="preserve"> and a</w:t>
      </w:r>
      <w:r w:rsidR="00A7697B" w:rsidRPr="00292EF5">
        <w:rPr>
          <w:color w:val="000000"/>
          <w:sz w:val="22"/>
          <w:szCs w:val="22"/>
        </w:rPr>
        <w:t xml:space="preserve">dminister this program, which may include </w:t>
      </w:r>
      <w:r w:rsidR="00276C37" w:rsidRPr="00292EF5">
        <w:rPr>
          <w:color w:val="000000"/>
          <w:sz w:val="22"/>
          <w:szCs w:val="22"/>
        </w:rPr>
        <w:t>modifying and a</w:t>
      </w:r>
      <w:r w:rsidR="00A7697B" w:rsidRPr="00292EF5">
        <w:rPr>
          <w:color w:val="000000"/>
          <w:sz w:val="22"/>
          <w:szCs w:val="22"/>
        </w:rPr>
        <w:t>djust</w:t>
      </w:r>
      <w:r w:rsidR="00276C37" w:rsidRPr="00292EF5">
        <w:rPr>
          <w:color w:val="000000"/>
          <w:sz w:val="22"/>
          <w:szCs w:val="22"/>
        </w:rPr>
        <w:t>ing</w:t>
      </w:r>
      <w:r w:rsidR="00A7697B" w:rsidRPr="00292EF5">
        <w:rPr>
          <w:color w:val="000000"/>
          <w:sz w:val="22"/>
          <w:szCs w:val="22"/>
        </w:rPr>
        <w:t xml:space="preserve"> any allocation as it deems </w:t>
      </w:r>
      <w:r w:rsidR="00292EF5">
        <w:rPr>
          <w:color w:val="000000"/>
          <w:sz w:val="22"/>
          <w:szCs w:val="22"/>
        </w:rPr>
        <w:t xml:space="preserve">necessary </w:t>
      </w:r>
      <w:r w:rsidR="00276C37" w:rsidRPr="00292EF5">
        <w:rPr>
          <w:color w:val="000000"/>
          <w:sz w:val="22"/>
          <w:szCs w:val="22"/>
        </w:rPr>
        <w:t>to promote</w:t>
      </w:r>
      <w:r w:rsidRPr="00292EF5">
        <w:rPr>
          <w:sz w:val="22"/>
          <w:szCs w:val="22"/>
        </w:rPr>
        <w:t xml:space="preserve"> housing goals</w:t>
      </w:r>
      <w:r w:rsidR="00276C37" w:rsidRPr="00292EF5">
        <w:rPr>
          <w:color w:val="000000"/>
          <w:sz w:val="22"/>
          <w:szCs w:val="22"/>
        </w:rPr>
        <w:t xml:space="preserve"> including its goal of creating and enhancing housing choices in areas of opportunity (maximizing leveraging of available program resources, and encouraging geographic distribution), </w:t>
      </w:r>
      <w:r w:rsidR="00997179">
        <w:rPr>
          <w:color w:val="000000"/>
          <w:sz w:val="22"/>
          <w:szCs w:val="22"/>
        </w:rPr>
        <w:t xml:space="preserve">and to </w:t>
      </w:r>
      <w:r w:rsidR="00276C37" w:rsidRPr="00292EF5">
        <w:rPr>
          <w:color w:val="000000"/>
          <w:sz w:val="22"/>
          <w:szCs w:val="22"/>
        </w:rPr>
        <w:t>respond to</w:t>
      </w:r>
      <w:r w:rsidRPr="00292EF5">
        <w:rPr>
          <w:sz w:val="22"/>
          <w:szCs w:val="22"/>
        </w:rPr>
        <w:t xml:space="preserve"> specific market need</w:t>
      </w:r>
      <w:r w:rsidR="002E586E" w:rsidRPr="00292EF5">
        <w:rPr>
          <w:sz w:val="22"/>
          <w:szCs w:val="22"/>
        </w:rPr>
        <w:t>s</w:t>
      </w:r>
      <w:r w:rsidRPr="00292EF5">
        <w:rPr>
          <w:sz w:val="22"/>
          <w:szCs w:val="22"/>
        </w:rPr>
        <w:t xml:space="preserve"> and/or program</w:t>
      </w:r>
      <w:r w:rsidR="009B79C0" w:rsidRPr="00292EF5">
        <w:rPr>
          <w:sz w:val="22"/>
          <w:szCs w:val="22"/>
        </w:rPr>
        <w:t xml:space="preserve"> </w:t>
      </w:r>
      <w:r w:rsidRPr="00292EF5">
        <w:rPr>
          <w:sz w:val="22"/>
          <w:szCs w:val="22"/>
        </w:rPr>
        <w:t>objectives.</w:t>
      </w:r>
      <w:r w:rsidR="007A06A1" w:rsidRPr="00292EF5">
        <w:rPr>
          <w:sz w:val="22"/>
          <w:szCs w:val="22"/>
        </w:rPr>
        <w:t xml:space="preserve"> </w:t>
      </w:r>
    </w:p>
    <w:p w:rsidR="00276C37" w:rsidRDefault="00276C37" w:rsidP="00276C37">
      <w:pPr>
        <w:spacing w:line="240" w:lineRule="auto"/>
        <w:ind w:left="400" w:firstLine="300"/>
      </w:pPr>
    </w:p>
    <w:p w:rsidR="00491A05" w:rsidRPr="00411B94" w:rsidRDefault="007A06A1" w:rsidP="009E4B92">
      <w:pPr>
        <w:spacing w:line="240" w:lineRule="auto"/>
        <w:ind w:left="360" w:firstLine="360"/>
        <w:rPr>
          <w:sz w:val="22"/>
          <w:szCs w:val="22"/>
        </w:rPr>
      </w:pPr>
      <w:r w:rsidRPr="00411B94">
        <w:rPr>
          <w:sz w:val="22"/>
          <w:szCs w:val="22"/>
        </w:rPr>
        <w:lastRenderedPageBreak/>
        <w:t xml:space="preserve">Furthermore, Agency staff is specifically instructed and authorized to make </w:t>
      </w:r>
      <w:r w:rsidR="006506A6" w:rsidRPr="00411B94">
        <w:rPr>
          <w:i/>
          <w:sz w:val="22"/>
          <w:szCs w:val="22"/>
        </w:rPr>
        <w:t xml:space="preserve">de </w:t>
      </w:r>
      <w:proofErr w:type="spellStart"/>
      <w:r w:rsidR="006506A6" w:rsidRPr="00411B94">
        <w:rPr>
          <w:i/>
          <w:sz w:val="22"/>
          <w:szCs w:val="22"/>
        </w:rPr>
        <w:t>minim</w:t>
      </w:r>
      <w:r w:rsidR="00001ECF" w:rsidRPr="00411B94">
        <w:rPr>
          <w:i/>
          <w:sz w:val="22"/>
          <w:szCs w:val="22"/>
        </w:rPr>
        <w:t>i</w:t>
      </w:r>
      <w:r w:rsidR="006506A6" w:rsidRPr="00411B94">
        <w:rPr>
          <w:i/>
          <w:sz w:val="22"/>
          <w:szCs w:val="22"/>
        </w:rPr>
        <w:t>s</w:t>
      </w:r>
      <w:proofErr w:type="spellEnd"/>
      <w:r w:rsidR="00983F36" w:rsidRPr="00411B94">
        <w:rPr>
          <w:sz w:val="22"/>
          <w:szCs w:val="22"/>
        </w:rPr>
        <w:t xml:space="preserve"> adjustment to any A</w:t>
      </w:r>
      <w:r w:rsidRPr="00411B94">
        <w:rPr>
          <w:sz w:val="22"/>
          <w:szCs w:val="22"/>
        </w:rPr>
        <w:t xml:space="preserve">pplication in processing, at any time as deemed appropriate and necessary, to carry out the housing goals of the Agency.  (For these purposes, </w:t>
      </w:r>
      <w:r w:rsidR="006506A6" w:rsidRPr="00411B94">
        <w:rPr>
          <w:i/>
          <w:sz w:val="22"/>
          <w:szCs w:val="22"/>
        </w:rPr>
        <w:t xml:space="preserve">de </w:t>
      </w:r>
      <w:proofErr w:type="spellStart"/>
      <w:r w:rsidR="00001ECF" w:rsidRPr="00411B94">
        <w:rPr>
          <w:i/>
          <w:sz w:val="22"/>
          <w:szCs w:val="22"/>
        </w:rPr>
        <w:t>minimi</w:t>
      </w:r>
      <w:r w:rsidR="006506A6" w:rsidRPr="00411B94">
        <w:rPr>
          <w:i/>
          <w:sz w:val="22"/>
          <w:szCs w:val="22"/>
        </w:rPr>
        <w:t>s</w:t>
      </w:r>
      <w:proofErr w:type="spellEnd"/>
      <w:r w:rsidRPr="00411B94">
        <w:rPr>
          <w:sz w:val="22"/>
          <w:szCs w:val="22"/>
        </w:rPr>
        <w:t xml:space="preserve"> means an adjustment </w:t>
      </w:r>
      <w:r w:rsidR="00A02896" w:rsidRPr="00411B94">
        <w:rPr>
          <w:sz w:val="22"/>
          <w:szCs w:val="22"/>
        </w:rPr>
        <w:t>of approximately</w:t>
      </w:r>
      <w:r w:rsidRPr="00411B94">
        <w:rPr>
          <w:sz w:val="22"/>
          <w:szCs w:val="22"/>
        </w:rPr>
        <w:t xml:space="preserve"> 5% of the </w:t>
      </w:r>
      <w:r w:rsidR="002A3C95" w:rsidRPr="00411B94">
        <w:rPr>
          <w:sz w:val="22"/>
          <w:szCs w:val="22"/>
        </w:rPr>
        <w:t>conditional r</w:t>
      </w:r>
      <w:r w:rsidRPr="00411B94">
        <w:rPr>
          <w:sz w:val="22"/>
          <w:szCs w:val="22"/>
        </w:rPr>
        <w:t xml:space="preserve">eservation or </w:t>
      </w:r>
      <w:r w:rsidR="002A3C95" w:rsidRPr="00411B94">
        <w:rPr>
          <w:sz w:val="22"/>
          <w:szCs w:val="22"/>
        </w:rPr>
        <w:t>a</w:t>
      </w:r>
      <w:r w:rsidRPr="00411B94">
        <w:rPr>
          <w:sz w:val="22"/>
          <w:szCs w:val="22"/>
        </w:rPr>
        <w:t>llocation.)</w:t>
      </w:r>
    </w:p>
    <w:p w:rsidR="00EC7619" w:rsidRPr="00411B94" w:rsidRDefault="00EC7619">
      <w:pPr>
        <w:spacing w:line="240" w:lineRule="auto"/>
        <w:ind w:left="360" w:firstLine="360"/>
        <w:jc w:val="left"/>
        <w:rPr>
          <w:b/>
          <w:sz w:val="22"/>
          <w:szCs w:val="22"/>
        </w:rPr>
      </w:pPr>
    </w:p>
    <w:p w:rsidR="001848D9" w:rsidRDefault="001848D9" w:rsidP="00031C36">
      <w:pPr>
        <w:widowControl/>
        <w:adjustRightInd/>
        <w:spacing w:line="240" w:lineRule="auto"/>
        <w:jc w:val="center"/>
        <w:textAlignment w:val="auto"/>
        <w:rPr>
          <w:b/>
          <w:sz w:val="22"/>
          <w:szCs w:val="22"/>
          <w:u w:val="single"/>
        </w:rPr>
      </w:pPr>
    </w:p>
    <w:p w:rsidR="00B76F9A" w:rsidRPr="00411B94" w:rsidRDefault="001A6610" w:rsidP="00031C36">
      <w:pPr>
        <w:widowControl/>
        <w:adjustRightInd/>
        <w:spacing w:line="240" w:lineRule="auto"/>
        <w:jc w:val="center"/>
        <w:textAlignment w:val="auto"/>
        <w:rPr>
          <w:b/>
          <w:sz w:val="22"/>
          <w:szCs w:val="22"/>
          <w:u w:val="single"/>
        </w:rPr>
      </w:pPr>
      <w:r w:rsidRPr="00411B94">
        <w:rPr>
          <w:b/>
          <w:sz w:val="22"/>
          <w:szCs w:val="22"/>
          <w:u w:val="single"/>
        </w:rPr>
        <w:t xml:space="preserve">APPLICATION </w:t>
      </w:r>
      <w:r w:rsidR="005F072D" w:rsidRPr="00411B94">
        <w:rPr>
          <w:b/>
          <w:sz w:val="22"/>
          <w:szCs w:val="22"/>
          <w:u w:val="single"/>
        </w:rPr>
        <w:t xml:space="preserve">ELIGIBILITY </w:t>
      </w:r>
      <w:r w:rsidR="00B76F9A" w:rsidRPr="00411B94">
        <w:rPr>
          <w:b/>
          <w:sz w:val="22"/>
          <w:szCs w:val="22"/>
          <w:u w:val="single"/>
        </w:rPr>
        <w:t>CRITERIA</w:t>
      </w:r>
    </w:p>
    <w:p w:rsidR="005F072D" w:rsidRPr="00411B94" w:rsidRDefault="005F072D" w:rsidP="00E94493">
      <w:pPr>
        <w:spacing w:line="240" w:lineRule="auto"/>
        <w:rPr>
          <w:b/>
          <w:sz w:val="22"/>
          <w:szCs w:val="22"/>
        </w:rPr>
      </w:pPr>
    </w:p>
    <w:p w:rsidR="005F072D" w:rsidRPr="00411B94" w:rsidRDefault="00BD1421" w:rsidP="001B5101">
      <w:pPr>
        <w:spacing w:line="240" w:lineRule="auto"/>
        <w:ind w:left="360" w:firstLine="360"/>
        <w:rPr>
          <w:sz w:val="22"/>
          <w:szCs w:val="22"/>
        </w:rPr>
      </w:pPr>
      <w:r w:rsidRPr="00411B94">
        <w:rPr>
          <w:sz w:val="22"/>
          <w:szCs w:val="22"/>
        </w:rPr>
        <w:t>In order to be considered for a conditional reservation of Tax Credit</w:t>
      </w:r>
      <w:r w:rsidR="00B33AD1" w:rsidRPr="00411B94">
        <w:rPr>
          <w:sz w:val="22"/>
          <w:szCs w:val="22"/>
        </w:rPr>
        <w:t xml:space="preserve">s, all </w:t>
      </w:r>
      <w:r w:rsidR="002E586E" w:rsidRPr="00411B94">
        <w:rPr>
          <w:sz w:val="22"/>
          <w:szCs w:val="22"/>
        </w:rPr>
        <w:t>A</w:t>
      </w:r>
      <w:r w:rsidR="00B33AD1" w:rsidRPr="00411B94">
        <w:rPr>
          <w:sz w:val="22"/>
          <w:szCs w:val="22"/>
        </w:rPr>
        <w:t>pplicants must submit a</w:t>
      </w:r>
      <w:r w:rsidR="00440998" w:rsidRPr="00411B94">
        <w:rPr>
          <w:sz w:val="22"/>
          <w:szCs w:val="22"/>
        </w:rPr>
        <w:t>n</w:t>
      </w:r>
      <w:r w:rsidRPr="00411B94">
        <w:rPr>
          <w:sz w:val="22"/>
          <w:szCs w:val="22"/>
        </w:rPr>
        <w:t xml:space="preserve"> Application. The Agency will not accept or process requests for Tax Credits without the submissi</w:t>
      </w:r>
      <w:r w:rsidR="00031C36" w:rsidRPr="00411B94">
        <w:rPr>
          <w:sz w:val="22"/>
          <w:szCs w:val="22"/>
        </w:rPr>
        <w:t>on of a</w:t>
      </w:r>
      <w:r w:rsidR="00440998" w:rsidRPr="00411B94">
        <w:rPr>
          <w:sz w:val="22"/>
          <w:szCs w:val="22"/>
        </w:rPr>
        <w:t>n</w:t>
      </w:r>
      <w:r w:rsidR="00031C36" w:rsidRPr="00411B94">
        <w:rPr>
          <w:sz w:val="22"/>
          <w:szCs w:val="22"/>
        </w:rPr>
        <w:t xml:space="preserve"> Application</w:t>
      </w:r>
      <w:r w:rsidR="000B2A3E" w:rsidRPr="00411B94">
        <w:rPr>
          <w:sz w:val="22"/>
          <w:szCs w:val="22"/>
        </w:rPr>
        <w:t>,</w:t>
      </w:r>
      <w:r w:rsidR="00B33AD1" w:rsidRPr="00411B94">
        <w:rPr>
          <w:sz w:val="22"/>
          <w:szCs w:val="22"/>
        </w:rPr>
        <w:t xml:space="preserve"> </w:t>
      </w:r>
      <w:r w:rsidR="000B2A3E" w:rsidRPr="00411B94">
        <w:rPr>
          <w:sz w:val="22"/>
          <w:szCs w:val="22"/>
        </w:rPr>
        <w:t>and</w:t>
      </w:r>
      <w:r w:rsidR="005F072D" w:rsidRPr="00411B94">
        <w:rPr>
          <w:sz w:val="22"/>
          <w:szCs w:val="22"/>
        </w:rPr>
        <w:t xml:space="preserve"> will only </w:t>
      </w:r>
      <w:r w:rsidR="006945E2" w:rsidRPr="00411B94">
        <w:rPr>
          <w:sz w:val="22"/>
          <w:szCs w:val="22"/>
        </w:rPr>
        <w:t xml:space="preserve">process </w:t>
      </w:r>
      <w:r w:rsidR="005F072D" w:rsidRPr="00411B94">
        <w:rPr>
          <w:sz w:val="22"/>
          <w:szCs w:val="22"/>
        </w:rPr>
        <w:t>Applications</w:t>
      </w:r>
      <w:r w:rsidR="00B33AD1" w:rsidRPr="00411B94">
        <w:rPr>
          <w:sz w:val="22"/>
          <w:szCs w:val="22"/>
        </w:rPr>
        <w:t xml:space="preserve"> </w:t>
      </w:r>
      <w:r w:rsidR="005F072D" w:rsidRPr="00411B94">
        <w:rPr>
          <w:sz w:val="22"/>
          <w:szCs w:val="22"/>
        </w:rPr>
        <w:t>meet</w:t>
      </w:r>
      <w:r w:rsidR="00456987" w:rsidRPr="00411B94">
        <w:rPr>
          <w:sz w:val="22"/>
          <w:szCs w:val="22"/>
        </w:rPr>
        <w:t>ing</w:t>
      </w:r>
      <w:r w:rsidR="005F072D" w:rsidRPr="00411B94">
        <w:rPr>
          <w:sz w:val="22"/>
          <w:szCs w:val="22"/>
        </w:rPr>
        <w:t xml:space="preserve"> all of the following eligibility criteria.  Failure to meet any of these eligibility criteria may result in rejection of the Application</w:t>
      </w:r>
      <w:r w:rsidR="00B33AD1" w:rsidRPr="00411B94">
        <w:rPr>
          <w:sz w:val="22"/>
          <w:szCs w:val="22"/>
        </w:rPr>
        <w:t>.</w:t>
      </w:r>
    </w:p>
    <w:p w:rsidR="005F072D" w:rsidRPr="00411B94" w:rsidRDefault="005F072D" w:rsidP="00E94493">
      <w:pPr>
        <w:spacing w:line="240" w:lineRule="auto"/>
        <w:rPr>
          <w:sz w:val="22"/>
          <w:szCs w:val="22"/>
        </w:rPr>
      </w:pPr>
    </w:p>
    <w:p w:rsidR="004D65DF" w:rsidRPr="00411B94" w:rsidRDefault="005F072D" w:rsidP="007944FD">
      <w:pPr>
        <w:pStyle w:val="ListParagraph"/>
        <w:numPr>
          <w:ilvl w:val="0"/>
          <w:numId w:val="46"/>
        </w:numPr>
        <w:spacing w:line="240" w:lineRule="auto"/>
        <w:rPr>
          <w:sz w:val="22"/>
          <w:szCs w:val="22"/>
        </w:rPr>
      </w:pPr>
      <w:r w:rsidRPr="00411B94">
        <w:rPr>
          <w:sz w:val="22"/>
          <w:szCs w:val="22"/>
        </w:rPr>
        <w:t xml:space="preserve">Agency staff will review the Tax Credit Program compliance history and performance of the </w:t>
      </w:r>
      <w:r w:rsidR="002E586E" w:rsidRPr="00411B94">
        <w:rPr>
          <w:sz w:val="22"/>
          <w:szCs w:val="22"/>
        </w:rPr>
        <w:t>A</w:t>
      </w:r>
      <w:r w:rsidR="000E1C4B" w:rsidRPr="00411B94">
        <w:rPr>
          <w:sz w:val="22"/>
          <w:szCs w:val="22"/>
        </w:rPr>
        <w:t xml:space="preserve">pplicant </w:t>
      </w:r>
      <w:r w:rsidR="005C3247" w:rsidRPr="00411B94">
        <w:rPr>
          <w:sz w:val="22"/>
          <w:szCs w:val="22"/>
        </w:rPr>
        <w:t>(</w:t>
      </w:r>
      <w:r w:rsidR="00C076C6" w:rsidRPr="00411B94">
        <w:rPr>
          <w:sz w:val="22"/>
          <w:szCs w:val="22"/>
        </w:rPr>
        <w:t>or</w:t>
      </w:r>
      <w:r w:rsidR="005C3247" w:rsidRPr="00411B94">
        <w:rPr>
          <w:sz w:val="22"/>
          <w:szCs w:val="22"/>
        </w:rPr>
        <w:t xml:space="preserve"> any related entity</w:t>
      </w:r>
      <w:r w:rsidR="002E50AF" w:rsidRPr="00411B94">
        <w:rPr>
          <w:sz w:val="22"/>
          <w:szCs w:val="22"/>
        </w:rPr>
        <w:t xml:space="preserve"> or material participant</w:t>
      </w:r>
      <w:r w:rsidR="005C3247" w:rsidRPr="00411B94">
        <w:rPr>
          <w:sz w:val="22"/>
          <w:szCs w:val="22"/>
        </w:rPr>
        <w:t>)</w:t>
      </w:r>
      <w:r w:rsidR="00C3137C" w:rsidRPr="00411B94">
        <w:rPr>
          <w:sz w:val="22"/>
          <w:szCs w:val="22"/>
        </w:rPr>
        <w:t xml:space="preserve"> </w:t>
      </w:r>
      <w:r w:rsidRPr="00411B94">
        <w:rPr>
          <w:sz w:val="22"/>
          <w:szCs w:val="22"/>
        </w:rPr>
        <w:t xml:space="preserve">and the management agent of the proposed development. The </w:t>
      </w:r>
      <w:r w:rsidR="002E586E" w:rsidRPr="00411B94">
        <w:rPr>
          <w:sz w:val="22"/>
          <w:szCs w:val="22"/>
        </w:rPr>
        <w:t>A</w:t>
      </w:r>
      <w:r w:rsidRPr="00411B94">
        <w:rPr>
          <w:sz w:val="22"/>
          <w:szCs w:val="22"/>
        </w:rPr>
        <w:t xml:space="preserve">pplicant must certify that it is in compliance with all Tax Credit Program requirements for each Tax Credit development in which it has a material ownership interest.  If the </w:t>
      </w:r>
      <w:r w:rsidR="002E586E" w:rsidRPr="00411B94">
        <w:rPr>
          <w:sz w:val="22"/>
          <w:szCs w:val="22"/>
        </w:rPr>
        <w:t>A</w:t>
      </w:r>
      <w:r w:rsidR="000E1C4B" w:rsidRPr="00411B94">
        <w:rPr>
          <w:sz w:val="22"/>
          <w:szCs w:val="22"/>
        </w:rPr>
        <w:t>pplicant</w:t>
      </w:r>
      <w:r w:rsidR="005C3247" w:rsidRPr="00411B94">
        <w:rPr>
          <w:sz w:val="22"/>
          <w:szCs w:val="22"/>
        </w:rPr>
        <w:t xml:space="preserve"> (</w:t>
      </w:r>
      <w:r w:rsidR="00C3137C" w:rsidRPr="00411B94">
        <w:rPr>
          <w:sz w:val="22"/>
          <w:szCs w:val="22"/>
        </w:rPr>
        <w:t>or a</w:t>
      </w:r>
      <w:r w:rsidR="005C3247" w:rsidRPr="00411B94">
        <w:rPr>
          <w:sz w:val="22"/>
          <w:szCs w:val="22"/>
        </w:rPr>
        <w:t>ny</w:t>
      </w:r>
      <w:r w:rsidR="00C3137C" w:rsidRPr="00411B94">
        <w:rPr>
          <w:sz w:val="22"/>
          <w:szCs w:val="22"/>
        </w:rPr>
        <w:t xml:space="preserve"> related entity</w:t>
      </w:r>
      <w:r w:rsidR="005C3247" w:rsidRPr="00411B94">
        <w:rPr>
          <w:sz w:val="22"/>
          <w:szCs w:val="22"/>
        </w:rPr>
        <w:t>)</w:t>
      </w:r>
      <w:r w:rsidRPr="00411B94">
        <w:rPr>
          <w:sz w:val="22"/>
          <w:szCs w:val="22"/>
        </w:rPr>
        <w:t xml:space="preserve"> or management agent of the proposed development is currently involved in a Tax Credit development that has been reported to the Internal Revenue Service ("</w:t>
      </w:r>
      <w:smartTag w:uri="urn:schemas-microsoft-com:office:smarttags" w:element="stockticker">
        <w:r w:rsidRPr="00411B94">
          <w:rPr>
            <w:sz w:val="22"/>
            <w:szCs w:val="22"/>
          </w:rPr>
          <w:t>IRS</w:t>
        </w:r>
      </w:smartTag>
      <w:r w:rsidRPr="00411B94">
        <w:rPr>
          <w:sz w:val="22"/>
          <w:szCs w:val="22"/>
        </w:rPr>
        <w:t>") as being out of compliance with any Agency program requirement (</w:t>
      </w:r>
      <w:r w:rsidR="00DA662A" w:rsidRPr="00411B94">
        <w:rPr>
          <w:sz w:val="22"/>
          <w:szCs w:val="22"/>
        </w:rPr>
        <w:t>or has an outstanding</w:t>
      </w:r>
      <w:r w:rsidRPr="00411B94">
        <w:rPr>
          <w:sz w:val="22"/>
          <w:szCs w:val="22"/>
        </w:rPr>
        <w:t xml:space="preserve"> Restrictive Covenant Agreement violation) and said noncompliance has not been brought back into compliance prior to the submission of the Application, the Application may be rejected at any time prior to reservation of </w:t>
      </w:r>
      <w:r w:rsidR="00DE4908" w:rsidRPr="00411B94">
        <w:rPr>
          <w:sz w:val="22"/>
          <w:szCs w:val="22"/>
        </w:rPr>
        <w:t>Tax C</w:t>
      </w:r>
      <w:r w:rsidRPr="00411B94">
        <w:rPr>
          <w:sz w:val="22"/>
          <w:szCs w:val="22"/>
        </w:rPr>
        <w:t xml:space="preserve">redits.  In the alternative (or in addition, </w:t>
      </w:r>
      <w:r w:rsidR="002A3C95" w:rsidRPr="00411B94">
        <w:rPr>
          <w:sz w:val="22"/>
          <w:szCs w:val="22"/>
        </w:rPr>
        <w:t xml:space="preserve">as determined by </w:t>
      </w:r>
      <w:r w:rsidRPr="00411B94">
        <w:rPr>
          <w:sz w:val="22"/>
          <w:szCs w:val="22"/>
        </w:rPr>
        <w:t>the Agency)</w:t>
      </w:r>
      <w:r w:rsidR="005C3247" w:rsidRPr="00411B94">
        <w:rPr>
          <w:sz w:val="22"/>
          <w:szCs w:val="22"/>
        </w:rPr>
        <w:t>,</w:t>
      </w:r>
      <w:r w:rsidRPr="00411B94">
        <w:rPr>
          <w:sz w:val="22"/>
          <w:szCs w:val="22"/>
        </w:rPr>
        <w:t xml:space="preserve"> attend</w:t>
      </w:r>
      <w:r w:rsidR="005C3247" w:rsidRPr="00411B94">
        <w:rPr>
          <w:sz w:val="22"/>
          <w:szCs w:val="22"/>
        </w:rPr>
        <w:t>ance</w:t>
      </w:r>
      <w:r w:rsidRPr="00411B94">
        <w:rPr>
          <w:sz w:val="22"/>
          <w:szCs w:val="22"/>
        </w:rPr>
        <w:t xml:space="preserve"> and satisfactory </w:t>
      </w:r>
      <w:r w:rsidR="005C3247" w:rsidRPr="00411B94">
        <w:rPr>
          <w:sz w:val="22"/>
          <w:szCs w:val="22"/>
        </w:rPr>
        <w:t xml:space="preserve">completion of </w:t>
      </w:r>
      <w:r w:rsidRPr="00411B94">
        <w:rPr>
          <w:sz w:val="22"/>
          <w:szCs w:val="22"/>
        </w:rPr>
        <w:t>an Agency-approved course in the compliance requirements of the Tax Credit Program</w:t>
      </w:r>
      <w:r w:rsidR="005C3247" w:rsidRPr="00411B94">
        <w:rPr>
          <w:sz w:val="22"/>
          <w:szCs w:val="22"/>
        </w:rPr>
        <w:t xml:space="preserve"> may be required</w:t>
      </w:r>
      <w:r w:rsidRPr="00411B94">
        <w:rPr>
          <w:sz w:val="22"/>
          <w:szCs w:val="22"/>
        </w:rPr>
        <w:t>. The Agency will determine whether a compliance issue is of a material or nonmaterial nature and whether it is of a recurring nature</w:t>
      </w:r>
      <w:r w:rsidR="00F03401" w:rsidRPr="00411B94">
        <w:rPr>
          <w:sz w:val="22"/>
          <w:szCs w:val="22"/>
        </w:rPr>
        <w:t xml:space="preserve"> based on the facts and circumstances</w:t>
      </w:r>
      <w:r w:rsidRPr="00411B94">
        <w:rPr>
          <w:sz w:val="22"/>
          <w:szCs w:val="22"/>
        </w:rPr>
        <w:t xml:space="preserve">. </w:t>
      </w:r>
      <w:r w:rsidR="00F03401" w:rsidRPr="00411B94">
        <w:rPr>
          <w:sz w:val="22"/>
          <w:szCs w:val="22"/>
        </w:rPr>
        <w:t xml:space="preserve"> </w:t>
      </w:r>
      <w:r w:rsidRPr="00411B94">
        <w:rPr>
          <w:sz w:val="22"/>
          <w:szCs w:val="22"/>
        </w:rPr>
        <w:t xml:space="preserve">Note that while any material compliance issue may result in rejection of an Application, </w:t>
      </w:r>
      <w:r w:rsidR="00B34A88" w:rsidRPr="00411B94">
        <w:rPr>
          <w:sz w:val="22"/>
          <w:szCs w:val="22"/>
        </w:rPr>
        <w:t xml:space="preserve">nonmaterial </w:t>
      </w:r>
      <w:r w:rsidRPr="00411B94">
        <w:rPr>
          <w:sz w:val="22"/>
          <w:szCs w:val="22"/>
        </w:rPr>
        <w:t xml:space="preserve">noncompliance issues </w:t>
      </w:r>
      <w:r w:rsidR="00B34A88" w:rsidRPr="00411B94">
        <w:rPr>
          <w:sz w:val="22"/>
          <w:szCs w:val="22"/>
        </w:rPr>
        <w:t xml:space="preserve">may </w:t>
      </w:r>
      <w:r w:rsidRPr="00411B94">
        <w:rPr>
          <w:sz w:val="22"/>
          <w:szCs w:val="22"/>
        </w:rPr>
        <w:t xml:space="preserve">result in the adjustment of points during the ranking process.  </w:t>
      </w:r>
      <w:r w:rsidR="00EC05CA" w:rsidRPr="00411B94">
        <w:rPr>
          <w:sz w:val="22"/>
          <w:szCs w:val="22"/>
        </w:rPr>
        <w:t xml:space="preserve">The Agency may reject any Application from an </w:t>
      </w:r>
      <w:r w:rsidR="002E586E" w:rsidRPr="00411B94">
        <w:rPr>
          <w:sz w:val="22"/>
          <w:szCs w:val="22"/>
        </w:rPr>
        <w:t>A</w:t>
      </w:r>
      <w:r w:rsidR="00EC05CA" w:rsidRPr="00411B94">
        <w:rPr>
          <w:sz w:val="22"/>
          <w:szCs w:val="22"/>
        </w:rPr>
        <w:t xml:space="preserve">pplicant who fails to submit and maintain timely unit and project information on the </w:t>
      </w:r>
      <w:r w:rsidR="009C6540" w:rsidRPr="00411B94">
        <w:rPr>
          <w:sz w:val="22"/>
          <w:szCs w:val="22"/>
        </w:rPr>
        <w:t>Agency’s interactive database (“PA Housing Search”).</w:t>
      </w:r>
    </w:p>
    <w:p w:rsidR="004D65DF" w:rsidRPr="00411B94" w:rsidRDefault="004D65DF" w:rsidP="007944FD">
      <w:pPr>
        <w:spacing w:line="240" w:lineRule="auto"/>
        <w:ind w:left="720"/>
        <w:rPr>
          <w:sz w:val="22"/>
          <w:szCs w:val="22"/>
        </w:rPr>
      </w:pPr>
    </w:p>
    <w:p w:rsidR="005F072D" w:rsidRPr="00411B94" w:rsidRDefault="009A28FC" w:rsidP="007944FD">
      <w:pPr>
        <w:pStyle w:val="ListParagraph"/>
        <w:numPr>
          <w:ilvl w:val="0"/>
          <w:numId w:val="46"/>
        </w:numPr>
        <w:spacing w:line="240" w:lineRule="auto"/>
        <w:rPr>
          <w:sz w:val="22"/>
          <w:szCs w:val="22"/>
        </w:rPr>
      </w:pPr>
      <w:r w:rsidRPr="00411B94">
        <w:rPr>
          <w:sz w:val="22"/>
          <w:szCs w:val="22"/>
        </w:rPr>
        <w:t xml:space="preserve">If the </w:t>
      </w:r>
      <w:r w:rsidR="002E586E" w:rsidRPr="00411B94">
        <w:rPr>
          <w:sz w:val="22"/>
          <w:szCs w:val="22"/>
        </w:rPr>
        <w:t>A</w:t>
      </w:r>
      <w:r w:rsidRPr="00411B94">
        <w:rPr>
          <w:sz w:val="22"/>
          <w:szCs w:val="22"/>
        </w:rPr>
        <w:t>pplicant (or any related entity or material participant) is involved or has been involved in an Agency funded development that is delinquent in payments to the Agency or has materially defaulted on any of its obligations to the Agency or has misrepresented any material information on a previous application, the Age</w:t>
      </w:r>
      <w:r w:rsidR="004D2227" w:rsidRPr="00411B94">
        <w:rPr>
          <w:sz w:val="22"/>
          <w:szCs w:val="22"/>
        </w:rPr>
        <w:t>ncy may reject the Application.</w:t>
      </w:r>
    </w:p>
    <w:p w:rsidR="005F072D" w:rsidRPr="00411B94" w:rsidRDefault="005F072D" w:rsidP="007944FD">
      <w:pPr>
        <w:spacing w:line="240" w:lineRule="auto"/>
        <w:ind w:left="720" w:hanging="360"/>
        <w:rPr>
          <w:sz w:val="22"/>
          <w:szCs w:val="22"/>
        </w:rPr>
      </w:pPr>
    </w:p>
    <w:p w:rsidR="005F072D" w:rsidRPr="00411B94" w:rsidRDefault="009A28FC" w:rsidP="007944FD">
      <w:pPr>
        <w:pStyle w:val="ListParagraph"/>
        <w:numPr>
          <w:ilvl w:val="0"/>
          <w:numId w:val="46"/>
        </w:numPr>
        <w:spacing w:line="240" w:lineRule="auto"/>
        <w:rPr>
          <w:sz w:val="22"/>
          <w:szCs w:val="22"/>
        </w:rPr>
      </w:pPr>
      <w:r w:rsidRPr="00411B94">
        <w:rPr>
          <w:sz w:val="22"/>
          <w:szCs w:val="22"/>
        </w:rPr>
        <w:t xml:space="preserve">Applications may be returned if the </w:t>
      </w:r>
      <w:r w:rsidR="002E586E" w:rsidRPr="00411B94">
        <w:rPr>
          <w:sz w:val="22"/>
          <w:szCs w:val="22"/>
        </w:rPr>
        <w:t>A</w:t>
      </w:r>
      <w:r w:rsidRPr="00411B94">
        <w:rPr>
          <w:sz w:val="22"/>
          <w:szCs w:val="22"/>
        </w:rPr>
        <w:t xml:space="preserve">pplicant (or any related entity or material participant) has failed to meet any established program deadline date which resulted in loss or recapture of Tax Credits or potential loss of </w:t>
      </w:r>
      <w:r w:rsidR="003A5245" w:rsidRPr="00411B94">
        <w:rPr>
          <w:sz w:val="22"/>
          <w:szCs w:val="22"/>
        </w:rPr>
        <w:t xml:space="preserve">other financial assistance or </w:t>
      </w:r>
      <w:r w:rsidRPr="00411B94">
        <w:rPr>
          <w:sz w:val="22"/>
          <w:szCs w:val="22"/>
        </w:rPr>
        <w:t>fund</w:t>
      </w:r>
      <w:r w:rsidR="003A5245" w:rsidRPr="00411B94">
        <w:rPr>
          <w:sz w:val="22"/>
          <w:szCs w:val="22"/>
        </w:rPr>
        <w:t>ing resources</w:t>
      </w:r>
      <w:r w:rsidRPr="00411B94">
        <w:rPr>
          <w:sz w:val="22"/>
          <w:szCs w:val="22"/>
        </w:rPr>
        <w:t>.</w:t>
      </w:r>
    </w:p>
    <w:p w:rsidR="005F072D" w:rsidRPr="00411B94" w:rsidRDefault="005F072D" w:rsidP="007944FD">
      <w:pPr>
        <w:spacing w:line="240" w:lineRule="auto"/>
        <w:ind w:left="720" w:hanging="360"/>
        <w:rPr>
          <w:sz w:val="22"/>
          <w:szCs w:val="22"/>
        </w:rPr>
      </w:pPr>
    </w:p>
    <w:p w:rsidR="005F072D" w:rsidRPr="00411B94" w:rsidRDefault="009A28FC" w:rsidP="007944FD">
      <w:pPr>
        <w:pStyle w:val="ListParagraph"/>
        <w:numPr>
          <w:ilvl w:val="0"/>
          <w:numId w:val="46"/>
        </w:numPr>
        <w:spacing w:line="240" w:lineRule="auto"/>
        <w:rPr>
          <w:sz w:val="22"/>
          <w:szCs w:val="22"/>
        </w:rPr>
      </w:pPr>
      <w:r w:rsidRPr="00411B94">
        <w:rPr>
          <w:sz w:val="22"/>
          <w:szCs w:val="22"/>
        </w:rPr>
        <w:t xml:space="preserve">Applicants (or any related entities or material participants) who have unpaid fees due to the Agency </w:t>
      </w:r>
      <w:r w:rsidR="003A5245" w:rsidRPr="00411B94">
        <w:rPr>
          <w:sz w:val="22"/>
          <w:szCs w:val="22"/>
        </w:rPr>
        <w:t xml:space="preserve">or with outstanding state tax liability </w:t>
      </w:r>
      <w:r w:rsidRPr="00411B94">
        <w:rPr>
          <w:sz w:val="22"/>
          <w:szCs w:val="22"/>
        </w:rPr>
        <w:t>may be ineligible to particip</w:t>
      </w:r>
      <w:r w:rsidR="004D2227" w:rsidRPr="00411B94">
        <w:rPr>
          <w:sz w:val="22"/>
          <w:szCs w:val="22"/>
        </w:rPr>
        <w:t>ate in the Tax Credit Program.</w:t>
      </w:r>
    </w:p>
    <w:p w:rsidR="00B44790" w:rsidRPr="00411B94" w:rsidRDefault="00B44790" w:rsidP="007944FD">
      <w:pPr>
        <w:spacing w:line="240" w:lineRule="auto"/>
        <w:ind w:left="720" w:hanging="360"/>
        <w:rPr>
          <w:sz w:val="22"/>
          <w:szCs w:val="22"/>
        </w:rPr>
      </w:pPr>
    </w:p>
    <w:p w:rsidR="005F072D" w:rsidRPr="00411B94" w:rsidRDefault="009A28FC" w:rsidP="007944FD">
      <w:pPr>
        <w:pStyle w:val="ListParagraph"/>
        <w:numPr>
          <w:ilvl w:val="0"/>
          <w:numId w:val="46"/>
        </w:numPr>
        <w:spacing w:line="240" w:lineRule="auto"/>
        <w:rPr>
          <w:sz w:val="22"/>
          <w:szCs w:val="22"/>
        </w:rPr>
      </w:pPr>
      <w:r w:rsidRPr="00411B94">
        <w:rPr>
          <w:sz w:val="22"/>
          <w:szCs w:val="22"/>
        </w:rPr>
        <w:t xml:space="preserve">Developments that have resulted from or will result in the permanent displacement of low income residents will be ineligible for Tax Credit Program participation unless the </w:t>
      </w:r>
      <w:r w:rsidR="002E586E" w:rsidRPr="00411B94">
        <w:rPr>
          <w:sz w:val="22"/>
          <w:szCs w:val="22"/>
        </w:rPr>
        <w:t>Applicant</w:t>
      </w:r>
      <w:r w:rsidRPr="00411B94">
        <w:rPr>
          <w:sz w:val="22"/>
          <w:szCs w:val="22"/>
        </w:rPr>
        <w:t xml:space="preserve"> provides evidence satisfactory to the Agency that an appropriate relocation plan has been developed.  Furthermore, to the greatest extent feasible</w:t>
      </w:r>
      <w:r w:rsidR="00491A05" w:rsidRPr="00411B94">
        <w:rPr>
          <w:sz w:val="22"/>
          <w:szCs w:val="22"/>
        </w:rPr>
        <w:t>,</w:t>
      </w:r>
      <w:r w:rsidRPr="00411B94">
        <w:rPr>
          <w:sz w:val="22"/>
          <w:szCs w:val="22"/>
        </w:rPr>
        <w:t xml:space="preserve"> all </w:t>
      </w:r>
      <w:r w:rsidR="003A5245" w:rsidRPr="00411B94">
        <w:rPr>
          <w:sz w:val="22"/>
          <w:szCs w:val="22"/>
        </w:rPr>
        <w:t xml:space="preserve">existing low income </w:t>
      </w:r>
      <w:r w:rsidRPr="00411B94">
        <w:rPr>
          <w:sz w:val="22"/>
          <w:szCs w:val="22"/>
        </w:rPr>
        <w:t>residents must be offered their choice to either be temporarily relocated until such time, upon completion of the development, as they are able to return to an appropriately sized affordable unit in the development, or receive relocation benefits.  Applicants are required to document the efficacy of notice given to residents to t</w:t>
      </w:r>
      <w:r w:rsidR="004D2227" w:rsidRPr="00411B94">
        <w:rPr>
          <w:sz w:val="22"/>
          <w:szCs w:val="22"/>
        </w:rPr>
        <w:t>he satisfaction of the Agency.</w:t>
      </w:r>
    </w:p>
    <w:p w:rsidR="005F072D" w:rsidRPr="00411B94" w:rsidRDefault="005F072D" w:rsidP="007944FD">
      <w:pPr>
        <w:spacing w:line="240" w:lineRule="auto"/>
        <w:ind w:left="720" w:hanging="360"/>
        <w:rPr>
          <w:sz w:val="22"/>
          <w:szCs w:val="22"/>
        </w:rPr>
      </w:pPr>
    </w:p>
    <w:p w:rsidR="002121E9" w:rsidRPr="00411B94" w:rsidRDefault="009A28FC" w:rsidP="007944FD">
      <w:pPr>
        <w:pStyle w:val="ListParagraph"/>
        <w:numPr>
          <w:ilvl w:val="0"/>
          <w:numId w:val="46"/>
        </w:numPr>
        <w:spacing w:line="240" w:lineRule="auto"/>
        <w:rPr>
          <w:sz w:val="22"/>
          <w:szCs w:val="22"/>
        </w:rPr>
      </w:pPr>
      <w:r w:rsidRPr="00411B94">
        <w:rPr>
          <w:sz w:val="22"/>
          <w:szCs w:val="22"/>
        </w:rPr>
        <w:t xml:space="preserve">Applications for </w:t>
      </w:r>
      <w:r w:rsidR="009E4B92" w:rsidRPr="00411B94">
        <w:rPr>
          <w:sz w:val="22"/>
          <w:szCs w:val="22"/>
        </w:rPr>
        <w:t>A</w:t>
      </w:r>
      <w:r w:rsidRPr="00411B94">
        <w:rPr>
          <w:sz w:val="22"/>
          <w:szCs w:val="22"/>
        </w:rPr>
        <w:t xml:space="preserve">cquisition Tax Credits will not be accepted for any existing occupied Tax Credit development during its initial compliance period </w:t>
      </w:r>
      <w:r w:rsidR="002A6881" w:rsidRPr="00411B94">
        <w:rPr>
          <w:sz w:val="22"/>
          <w:szCs w:val="22"/>
        </w:rPr>
        <w:t xml:space="preserve">unless the initial compliance period will have expired </w:t>
      </w:r>
      <w:r w:rsidR="00C14622" w:rsidRPr="00411B94">
        <w:rPr>
          <w:sz w:val="22"/>
          <w:szCs w:val="22"/>
        </w:rPr>
        <w:t xml:space="preserve">prior to the </w:t>
      </w:r>
      <w:r w:rsidR="006E3E15" w:rsidRPr="00411B94">
        <w:rPr>
          <w:sz w:val="22"/>
          <w:szCs w:val="22"/>
        </w:rPr>
        <w:t xml:space="preserve">end of </w:t>
      </w:r>
      <w:r w:rsidR="00AF1F86">
        <w:rPr>
          <w:sz w:val="22"/>
          <w:szCs w:val="22"/>
        </w:rPr>
        <w:t>2016</w:t>
      </w:r>
      <w:r w:rsidR="00A81F5C" w:rsidRPr="00411B94">
        <w:rPr>
          <w:sz w:val="22"/>
          <w:szCs w:val="22"/>
        </w:rPr>
        <w:t xml:space="preserve"> </w:t>
      </w:r>
      <w:r w:rsidR="002A6881" w:rsidRPr="00411B94">
        <w:rPr>
          <w:sz w:val="22"/>
          <w:szCs w:val="22"/>
        </w:rPr>
        <w:t xml:space="preserve">and the property meets all other </w:t>
      </w:r>
      <w:r w:rsidR="009A5F30" w:rsidRPr="00411B94">
        <w:rPr>
          <w:sz w:val="22"/>
          <w:szCs w:val="22"/>
        </w:rPr>
        <w:t xml:space="preserve">Acquisition </w:t>
      </w:r>
      <w:r w:rsidR="00B96745" w:rsidRPr="00411B94">
        <w:rPr>
          <w:sz w:val="22"/>
          <w:szCs w:val="22"/>
        </w:rPr>
        <w:t>Tax C</w:t>
      </w:r>
      <w:r w:rsidR="002A6881" w:rsidRPr="00411B94">
        <w:rPr>
          <w:sz w:val="22"/>
          <w:szCs w:val="22"/>
        </w:rPr>
        <w:t>redit rules.</w:t>
      </w:r>
    </w:p>
    <w:p w:rsidR="00E47027" w:rsidRPr="00411B94" w:rsidRDefault="00E47027" w:rsidP="007944FD">
      <w:pPr>
        <w:spacing w:line="240" w:lineRule="auto"/>
        <w:ind w:left="720" w:hanging="360"/>
        <w:rPr>
          <w:sz w:val="22"/>
          <w:szCs w:val="22"/>
        </w:rPr>
      </w:pPr>
    </w:p>
    <w:p w:rsidR="00210253" w:rsidRPr="00411B94" w:rsidRDefault="000652CA" w:rsidP="001A3A97">
      <w:pPr>
        <w:pStyle w:val="ListParagraph"/>
        <w:numPr>
          <w:ilvl w:val="0"/>
          <w:numId w:val="46"/>
        </w:numPr>
        <w:spacing w:line="240" w:lineRule="auto"/>
        <w:rPr>
          <w:sz w:val="22"/>
          <w:szCs w:val="22"/>
        </w:rPr>
      </w:pPr>
      <w:r w:rsidRPr="00411B94">
        <w:rPr>
          <w:sz w:val="22"/>
          <w:szCs w:val="22"/>
        </w:rPr>
        <w:t xml:space="preserve">Applicant must provide evidence satisfactory to the Agency of its financial and organizational capacity to ensure the completion of the development in accordance with the requirements of the Code. The Agency will consider the total cost and number of projects owned or managed by the </w:t>
      </w:r>
      <w:r w:rsidR="002E586E" w:rsidRPr="00411B94">
        <w:rPr>
          <w:sz w:val="22"/>
          <w:szCs w:val="22"/>
        </w:rPr>
        <w:t>A</w:t>
      </w:r>
      <w:r w:rsidRPr="00411B94">
        <w:rPr>
          <w:sz w:val="22"/>
          <w:szCs w:val="22"/>
        </w:rPr>
        <w:t xml:space="preserve">pplicant in making this determination. Additionally, the Agency reserves the right to review supporting documentation, including annual audited financial statements, to evaluate the </w:t>
      </w:r>
      <w:r w:rsidR="002E586E" w:rsidRPr="00411B94">
        <w:rPr>
          <w:sz w:val="22"/>
          <w:szCs w:val="22"/>
        </w:rPr>
        <w:t>A</w:t>
      </w:r>
      <w:r w:rsidRPr="00411B94">
        <w:rPr>
          <w:sz w:val="22"/>
          <w:szCs w:val="22"/>
        </w:rPr>
        <w:t>pplicant’s financial capacity.</w:t>
      </w:r>
    </w:p>
    <w:p w:rsidR="004D65DF" w:rsidRPr="00411B94" w:rsidRDefault="004D65DF" w:rsidP="001A3A97">
      <w:pPr>
        <w:pStyle w:val="ListParagraph"/>
        <w:spacing w:line="240" w:lineRule="auto"/>
      </w:pPr>
    </w:p>
    <w:p w:rsidR="00E31732" w:rsidRPr="00411B94" w:rsidRDefault="00E31732" w:rsidP="007944FD">
      <w:pPr>
        <w:pStyle w:val="Header"/>
        <w:numPr>
          <w:ilvl w:val="0"/>
          <w:numId w:val="46"/>
        </w:numPr>
        <w:tabs>
          <w:tab w:val="clear" w:pos="4320"/>
          <w:tab w:val="clear" w:pos="8640"/>
        </w:tabs>
        <w:spacing w:line="240" w:lineRule="auto"/>
        <w:rPr>
          <w:sz w:val="22"/>
          <w:szCs w:val="22"/>
        </w:rPr>
      </w:pPr>
      <w:r w:rsidRPr="00411B94">
        <w:rPr>
          <w:sz w:val="22"/>
          <w:szCs w:val="22"/>
        </w:rPr>
        <w:t xml:space="preserve">Applications for </w:t>
      </w:r>
      <w:r w:rsidR="00AF1F86">
        <w:rPr>
          <w:sz w:val="22"/>
          <w:szCs w:val="22"/>
        </w:rPr>
        <w:t>2016</w:t>
      </w:r>
      <w:r w:rsidR="00A81F5C" w:rsidRPr="00411B94">
        <w:rPr>
          <w:sz w:val="22"/>
          <w:szCs w:val="22"/>
        </w:rPr>
        <w:t xml:space="preserve"> </w:t>
      </w:r>
      <w:r w:rsidRPr="00411B94">
        <w:rPr>
          <w:sz w:val="22"/>
          <w:szCs w:val="22"/>
        </w:rPr>
        <w:t xml:space="preserve">Tax Credits must demonstrate a commitment to serve low income residents for a period of not less than 30 years or, in the alternative, offer homeownership opportunities to qualified residents after the initial 15 year compliance period.  For the commitment to serve low income residents for a period of not less than 30 years, </w:t>
      </w:r>
      <w:r w:rsidR="002E586E" w:rsidRPr="00411B94">
        <w:rPr>
          <w:sz w:val="22"/>
          <w:szCs w:val="22"/>
        </w:rPr>
        <w:t>Applicant</w:t>
      </w:r>
      <w:r w:rsidRPr="00411B94">
        <w:rPr>
          <w:sz w:val="22"/>
          <w:szCs w:val="22"/>
        </w:rPr>
        <w:t xml:space="preserve"> will certify this commitment in the Application and the Restrictive Covenant Agreement will contain a provision waiving any right to petition the Agency to terminate the extended use term (as described in </w:t>
      </w:r>
      <w:r w:rsidR="003A5245" w:rsidRPr="00411B94">
        <w:rPr>
          <w:sz w:val="22"/>
          <w:szCs w:val="22"/>
        </w:rPr>
        <w:t>the Code</w:t>
      </w:r>
      <w:r w:rsidR="00354CA5" w:rsidRPr="00411B94">
        <w:rPr>
          <w:sz w:val="22"/>
          <w:szCs w:val="22"/>
        </w:rPr>
        <w:t>).</w:t>
      </w:r>
      <w:r w:rsidR="00440998" w:rsidRPr="00411B94">
        <w:rPr>
          <w:sz w:val="22"/>
          <w:szCs w:val="22"/>
        </w:rPr>
        <w:t xml:space="preserve">  </w:t>
      </w:r>
      <w:r w:rsidRPr="00411B94">
        <w:rPr>
          <w:sz w:val="22"/>
          <w:szCs w:val="22"/>
        </w:rPr>
        <w:t>If the alternative of homeownership opportunities is selected, proposals must present a financially viable homeownership program for residents who inhabit the units during the compliance period.  The program must incorporate an exit strategy, homeownership counseling and a minimum amount of funds (not less than $1,000</w:t>
      </w:r>
      <w:r w:rsidR="00491A06" w:rsidRPr="00411B94">
        <w:rPr>
          <w:sz w:val="22"/>
          <w:szCs w:val="22"/>
        </w:rPr>
        <w:t xml:space="preserve"> per unit</w:t>
      </w:r>
      <w:r w:rsidRPr="00411B94">
        <w:rPr>
          <w:sz w:val="22"/>
          <w:szCs w:val="22"/>
        </w:rPr>
        <w:t xml:space="preserve">) set aside by the developer to assist the residents with the purchase.  </w:t>
      </w:r>
      <w:r w:rsidR="00506395" w:rsidRPr="00411B94">
        <w:rPr>
          <w:sz w:val="22"/>
          <w:szCs w:val="22"/>
        </w:rPr>
        <w:t xml:space="preserve">This amount may not be included in the project budget. </w:t>
      </w:r>
      <w:r w:rsidRPr="00411B94">
        <w:rPr>
          <w:sz w:val="22"/>
          <w:szCs w:val="22"/>
        </w:rPr>
        <w:t xml:space="preserve">The only types of units eligible for consideration are townhouse and single family attached and detached structures.  The Agency may approve other unit types </w:t>
      </w:r>
      <w:r w:rsidR="00F03401" w:rsidRPr="00411B94">
        <w:rPr>
          <w:sz w:val="22"/>
          <w:szCs w:val="22"/>
        </w:rPr>
        <w:t xml:space="preserve">conducive for these purposes </w:t>
      </w:r>
      <w:r w:rsidRPr="00411B94">
        <w:rPr>
          <w:sz w:val="22"/>
          <w:szCs w:val="22"/>
        </w:rPr>
        <w:t xml:space="preserve">if structured as cooperative or condominium ownership. The </w:t>
      </w:r>
      <w:r w:rsidR="00071518" w:rsidRPr="00411B94">
        <w:rPr>
          <w:sz w:val="22"/>
          <w:szCs w:val="22"/>
        </w:rPr>
        <w:t>Applicant</w:t>
      </w:r>
      <w:r w:rsidRPr="00411B94">
        <w:rPr>
          <w:sz w:val="22"/>
          <w:szCs w:val="22"/>
        </w:rPr>
        <w:t xml:space="preserve"> will certify this commitment in the Application and the Restrictive Covenant Agreement will contain provisions ensuring enforcement of the related covenants by affected qualified residents. Should the units not be converted to homeownership, the Restrictive Covenant Agreement will contain a provision waiving any right to petition the Agency to terminate the extended use term for all units remaining as rental units.  A certification from the design architect verifying the units are townhouse or single family attached or detached structures (or otherwise appropriate for homeownership by tenants as determined by the Agency) will be requir</w:t>
      </w:r>
      <w:r w:rsidR="004D2227" w:rsidRPr="00411B94">
        <w:rPr>
          <w:sz w:val="22"/>
          <w:szCs w:val="22"/>
        </w:rPr>
        <w:t>ed as part of the Application.</w:t>
      </w:r>
    </w:p>
    <w:p w:rsidR="00E31732" w:rsidRPr="00411B94" w:rsidRDefault="00E31732" w:rsidP="007944FD">
      <w:pPr>
        <w:pStyle w:val="Header"/>
        <w:tabs>
          <w:tab w:val="clear" w:pos="4320"/>
          <w:tab w:val="clear" w:pos="8640"/>
        </w:tabs>
        <w:spacing w:line="240" w:lineRule="auto"/>
        <w:ind w:left="720" w:hanging="360"/>
        <w:rPr>
          <w:sz w:val="18"/>
          <w:szCs w:val="18"/>
        </w:rPr>
      </w:pPr>
    </w:p>
    <w:p w:rsidR="00E31732" w:rsidRPr="00411B94" w:rsidRDefault="00E31732" w:rsidP="00EC4F36">
      <w:pPr>
        <w:pStyle w:val="Header"/>
        <w:numPr>
          <w:ilvl w:val="0"/>
          <w:numId w:val="46"/>
        </w:numPr>
        <w:tabs>
          <w:tab w:val="clear" w:pos="4320"/>
          <w:tab w:val="clear" w:pos="8640"/>
        </w:tabs>
        <w:spacing w:line="240" w:lineRule="auto"/>
        <w:rPr>
          <w:sz w:val="22"/>
          <w:szCs w:val="22"/>
        </w:rPr>
      </w:pPr>
      <w:r w:rsidRPr="00411B94">
        <w:rPr>
          <w:sz w:val="22"/>
          <w:szCs w:val="22"/>
        </w:rPr>
        <w:t xml:space="preserve">The development team must have sufficient experience, as determined in the sole discretion of the Agency, to effectively own, design, construct, manage and operate a Tax Credit development.  The development team members include the </w:t>
      </w:r>
      <w:r w:rsidR="00071518" w:rsidRPr="00411B94">
        <w:rPr>
          <w:sz w:val="22"/>
          <w:szCs w:val="22"/>
        </w:rPr>
        <w:t>A</w:t>
      </w:r>
      <w:r w:rsidRPr="00411B94">
        <w:rPr>
          <w:sz w:val="22"/>
          <w:szCs w:val="22"/>
        </w:rPr>
        <w:t xml:space="preserve">pplicant, architect, general contractor, attorney, and the management agent.   As appropriate, the experience of a housing consultant (including their ability to secure equity investment) or a housing management consultant may be considered in lieu of the </w:t>
      </w:r>
      <w:r w:rsidR="00071518" w:rsidRPr="00411B94">
        <w:rPr>
          <w:sz w:val="22"/>
          <w:szCs w:val="22"/>
        </w:rPr>
        <w:t>A</w:t>
      </w:r>
      <w:r w:rsidRPr="00411B94">
        <w:rPr>
          <w:sz w:val="22"/>
          <w:szCs w:val="22"/>
        </w:rPr>
        <w:t>pplicant or management agent, respectively.</w:t>
      </w:r>
    </w:p>
    <w:p w:rsidR="00020337" w:rsidRPr="00411B94" w:rsidRDefault="00020337">
      <w:pPr>
        <w:spacing w:line="240" w:lineRule="auto"/>
        <w:ind w:left="720" w:firstLine="360"/>
      </w:pPr>
    </w:p>
    <w:p w:rsidR="00491A05" w:rsidRDefault="00E31732">
      <w:pPr>
        <w:spacing w:line="240" w:lineRule="auto"/>
        <w:ind w:left="720" w:firstLine="360"/>
        <w:rPr>
          <w:sz w:val="22"/>
          <w:szCs w:val="22"/>
        </w:rPr>
      </w:pPr>
      <w:r w:rsidRPr="00411B94">
        <w:rPr>
          <w:b/>
          <w:sz w:val="22"/>
          <w:szCs w:val="22"/>
        </w:rPr>
        <w:t xml:space="preserve">In addition to the above threshold eligibility criteria, the Agency reserves the right to take any action it deems appropriate if the </w:t>
      </w:r>
      <w:r w:rsidR="00071518" w:rsidRPr="00411B94">
        <w:rPr>
          <w:b/>
          <w:sz w:val="22"/>
          <w:szCs w:val="22"/>
        </w:rPr>
        <w:t>A</w:t>
      </w:r>
      <w:r w:rsidRPr="00411B94">
        <w:rPr>
          <w:b/>
          <w:sz w:val="22"/>
          <w:szCs w:val="22"/>
        </w:rPr>
        <w:t xml:space="preserve">pplicant (or any related entity), proposed management agent, or other material participant has been found to be in violation of fair housing, housing accessibility or nondiscrimination laws or has been found to discriminate against Section 8 voucher and certificate holders </w:t>
      </w:r>
      <w:r w:rsidRPr="00411B94">
        <w:rPr>
          <w:b/>
          <w:sz w:val="22"/>
          <w:szCs w:val="22"/>
          <w:u w:color="FF0000"/>
        </w:rPr>
        <w:t>or recipients of any state or local tenant or project based rental assistance,</w:t>
      </w:r>
      <w:r w:rsidRPr="00411B94">
        <w:rPr>
          <w:b/>
          <w:sz w:val="22"/>
          <w:szCs w:val="22"/>
        </w:rPr>
        <w:t xml:space="preserve"> and such violation or discriminatory actions have not been remedied to the satisfaction of the governmental agency or entity with jurisdiction.</w:t>
      </w:r>
      <w:r w:rsidRPr="00411B94">
        <w:rPr>
          <w:sz w:val="22"/>
          <w:szCs w:val="22"/>
        </w:rPr>
        <w:t xml:space="preserve">  The Agency specifically reserves the right to take any appropriate action and to deny any future Tax Credit Application from any </w:t>
      </w:r>
      <w:r w:rsidR="002D1116" w:rsidRPr="00411B94">
        <w:rPr>
          <w:sz w:val="22"/>
          <w:szCs w:val="22"/>
        </w:rPr>
        <w:t>Applicant</w:t>
      </w:r>
      <w:r w:rsidRPr="00411B94">
        <w:rPr>
          <w:sz w:val="22"/>
          <w:szCs w:val="22"/>
        </w:rPr>
        <w:t xml:space="preserve"> (or related entity) who evicts or terminates the tenancy </w:t>
      </w:r>
      <w:r w:rsidRPr="00411B94">
        <w:rPr>
          <w:iCs/>
          <w:sz w:val="22"/>
          <w:szCs w:val="22"/>
        </w:rPr>
        <w:t>of low income residents, except for good cause, throughout the entire project compliance period (including the extended use period) applicable to any existing Tax Credit development</w:t>
      </w:r>
      <w:r w:rsidRPr="00411B94">
        <w:rPr>
          <w:sz w:val="22"/>
          <w:szCs w:val="22"/>
        </w:rPr>
        <w:t xml:space="preserve">.  Such action may include rejection of the Application, termination of processing, recapture of Tax Credits (if an </w:t>
      </w:r>
      <w:smartTag w:uri="urn:schemas-microsoft-com:office:smarttags" w:element="stockticker">
        <w:r w:rsidRPr="00411B94">
          <w:rPr>
            <w:sz w:val="22"/>
            <w:szCs w:val="22"/>
          </w:rPr>
          <w:t>IRS</w:t>
        </w:r>
      </w:smartTag>
      <w:r w:rsidRPr="00411B94">
        <w:rPr>
          <w:sz w:val="22"/>
          <w:szCs w:val="22"/>
        </w:rPr>
        <w:t xml:space="preserve"> Form 8609 has not been issued) or, if applicable, issuance of an </w:t>
      </w:r>
      <w:smartTag w:uri="urn:schemas-microsoft-com:office:smarttags" w:element="stockticker">
        <w:r w:rsidRPr="00411B94">
          <w:rPr>
            <w:sz w:val="22"/>
            <w:szCs w:val="22"/>
          </w:rPr>
          <w:t>IRS</w:t>
        </w:r>
      </w:smartTag>
      <w:r w:rsidRPr="00411B94">
        <w:rPr>
          <w:sz w:val="22"/>
          <w:szCs w:val="22"/>
        </w:rPr>
        <w:t xml:space="preserve"> Form 8823 or notification to the appropriate governmental authorities.  As evidence of such finding of violation, the Agency may rely upon its own investigations or may rely upon any order of a court with jurisdiction or upon notice of such a finding from any federal or state agency with investigative or regulatory jurisdiction regarding the subject matter, such as the Internal Revenue Service, U.S. Department of Justice, </w:t>
      </w:r>
      <w:r w:rsidR="00071518" w:rsidRPr="00411B94">
        <w:rPr>
          <w:sz w:val="22"/>
          <w:szCs w:val="22"/>
        </w:rPr>
        <w:t xml:space="preserve">U.S. </w:t>
      </w:r>
      <w:r w:rsidRPr="00411B94">
        <w:rPr>
          <w:sz w:val="22"/>
          <w:szCs w:val="22"/>
        </w:rPr>
        <w:t xml:space="preserve">Department of Treasury, U.S. Department of Housing and Urban Development, Pennsylvania Human Relations Commission or Pennsylvania Office of Attorney General </w:t>
      </w:r>
      <w:r w:rsidR="005A61D5" w:rsidRPr="00411B94">
        <w:rPr>
          <w:sz w:val="22"/>
          <w:szCs w:val="22"/>
        </w:rPr>
        <w:t>or may make a determination based upon the failure to report or affirmatively disclose information to the Agency.</w:t>
      </w:r>
    </w:p>
    <w:p w:rsidR="003C075E" w:rsidRPr="00411B94" w:rsidRDefault="003C075E">
      <w:pPr>
        <w:spacing w:line="240" w:lineRule="auto"/>
        <w:ind w:left="720" w:firstLine="360"/>
        <w:rPr>
          <w:sz w:val="22"/>
          <w:szCs w:val="22"/>
        </w:rPr>
      </w:pPr>
    </w:p>
    <w:p w:rsidR="00354CA5" w:rsidRPr="00411B94" w:rsidRDefault="00E31732" w:rsidP="00354CA5">
      <w:pPr>
        <w:pStyle w:val="ListParagraph"/>
        <w:spacing w:line="240" w:lineRule="auto"/>
        <w:ind w:firstLine="360"/>
        <w:rPr>
          <w:sz w:val="22"/>
          <w:szCs w:val="22"/>
        </w:rPr>
      </w:pPr>
      <w:r w:rsidRPr="00411B94">
        <w:rPr>
          <w:sz w:val="22"/>
          <w:szCs w:val="22"/>
        </w:rPr>
        <w:lastRenderedPageBreak/>
        <w:t xml:space="preserve">“Material participant” for purpose of this section includes any entity who by written agreement may significantly affect, in the opinion of the Agency, the development or operation of the property.  Such written agreement may include ground leases, operating subsidies, partnership agreements, management contracts or </w:t>
      </w:r>
      <w:r w:rsidR="00354CA5" w:rsidRPr="00411B94">
        <w:rPr>
          <w:sz w:val="22"/>
          <w:szCs w:val="22"/>
        </w:rPr>
        <w:t>operating regulatory agreements.</w:t>
      </w:r>
    </w:p>
    <w:p w:rsidR="00354CA5" w:rsidRPr="00411B94" w:rsidRDefault="00354CA5" w:rsidP="007944FD">
      <w:pPr>
        <w:pStyle w:val="Header"/>
        <w:tabs>
          <w:tab w:val="clear" w:pos="4320"/>
          <w:tab w:val="clear" w:pos="8640"/>
        </w:tabs>
        <w:spacing w:line="240" w:lineRule="auto"/>
        <w:ind w:left="720" w:hanging="360"/>
        <w:rPr>
          <w:sz w:val="22"/>
          <w:szCs w:val="22"/>
        </w:rPr>
      </w:pPr>
    </w:p>
    <w:p w:rsidR="006B6D79" w:rsidRPr="00411B94" w:rsidRDefault="00E31732" w:rsidP="00354CA5">
      <w:pPr>
        <w:pStyle w:val="Header"/>
        <w:numPr>
          <w:ilvl w:val="0"/>
          <w:numId w:val="46"/>
        </w:numPr>
        <w:tabs>
          <w:tab w:val="clear" w:pos="4320"/>
          <w:tab w:val="clear" w:pos="8640"/>
        </w:tabs>
        <w:spacing w:line="240" w:lineRule="auto"/>
        <w:rPr>
          <w:sz w:val="22"/>
          <w:szCs w:val="22"/>
          <w:u w:color="FF0000"/>
        </w:rPr>
      </w:pPr>
      <w:r w:rsidRPr="00411B94">
        <w:rPr>
          <w:sz w:val="22"/>
          <w:szCs w:val="22"/>
          <w:u w:color="FF0000"/>
        </w:rPr>
        <w:t xml:space="preserve">Applications must demonstrate that the housing needs of local public housing waiting lists have been met. Applicants may meet this requirement by providing either: (1) a current letter from the local public housing authority stating how the development is specifically meeting the housing needs of residents on the public housing waiting list; (2) a copy of the comprehensive plan outlining the current local public housing authority waiting list and evidence that the development will meet such resident needs; or (3) evidence of receipt of mailing to the local public housing authority prior to the date of the Tax Credit </w:t>
      </w:r>
      <w:r w:rsidR="009E4B92" w:rsidRPr="00411B94">
        <w:rPr>
          <w:sz w:val="22"/>
          <w:szCs w:val="22"/>
          <w:u w:color="FF0000"/>
        </w:rPr>
        <w:t>A</w:t>
      </w:r>
      <w:r w:rsidRPr="00411B94">
        <w:rPr>
          <w:sz w:val="22"/>
          <w:szCs w:val="22"/>
          <w:u w:color="FF0000"/>
        </w:rPr>
        <w:t>pplication a letter which evidences the commitment of the developer to work cooperatively to meet the needs of persons on the loc</w:t>
      </w:r>
      <w:r w:rsidR="004D2227" w:rsidRPr="00411B94">
        <w:rPr>
          <w:sz w:val="22"/>
          <w:szCs w:val="22"/>
          <w:u w:color="FF0000"/>
        </w:rPr>
        <w:t>al public housing waiting list.</w:t>
      </w:r>
    </w:p>
    <w:p w:rsidR="009E2D00" w:rsidRPr="00411B94" w:rsidRDefault="009E2D00" w:rsidP="009E2D00">
      <w:pPr>
        <w:pStyle w:val="Header"/>
        <w:tabs>
          <w:tab w:val="clear" w:pos="4320"/>
          <w:tab w:val="clear" w:pos="8640"/>
        </w:tabs>
        <w:spacing w:line="240" w:lineRule="auto"/>
        <w:rPr>
          <w:sz w:val="22"/>
          <w:szCs w:val="22"/>
        </w:rPr>
      </w:pPr>
    </w:p>
    <w:p w:rsidR="00B92680" w:rsidRPr="00411B94" w:rsidRDefault="009E2D00" w:rsidP="00DA7631">
      <w:pPr>
        <w:pStyle w:val="Header"/>
        <w:widowControl/>
        <w:numPr>
          <w:ilvl w:val="0"/>
          <w:numId w:val="46"/>
        </w:numPr>
        <w:tabs>
          <w:tab w:val="clear" w:pos="4320"/>
          <w:tab w:val="clear" w:pos="8640"/>
        </w:tabs>
        <w:adjustRightInd/>
        <w:spacing w:line="240" w:lineRule="auto"/>
        <w:textAlignment w:val="auto"/>
        <w:rPr>
          <w:sz w:val="22"/>
          <w:szCs w:val="22"/>
        </w:rPr>
      </w:pPr>
      <w:r w:rsidRPr="00411B94">
        <w:rPr>
          <w:sz w:val="22"/>
        </w:rPr>
        <w:t xml:space="preserve">Applications must include evidence, satisfactory to the </w:t>
      </w:r>
      <w:proofErr w:type="gramStart"/>
      <w:r w:rsidRPr="00411B94">
        <w:rPr>
          <w:sz w:val="22"/>
        </w:rPr>
        <w:t>Agency</w:t>
      </w:r>
      <w:r w:rsidR="00F86257" w:rsidRPr="00411B94">
        <w:rPr>
          <w:sz w:val="22"/>
        </w:rPr>
        <w:t>,</w:t>
      </w:r>
      <w:r w:rsidR="002A61DE" w:rsidRPr="00411B94">
        <w:rPr>
          <w:sz w:val="22"/>
        </w:rPr>
        <w:t xml:space="preserve"> </w:t>
      </w:r>
      <w:r w:rsidRPr="00411B94">
        <w:rPr>
          <w:sz w:val="22"/>
        </w:rPr>
        <w:t>that</w:t>
      </w:r>
      <w:proofErr w:type="gramEnd"/>
      <w:r w:rsidRPr="00411B94">
        <w:rPr>
          <w:sz w:val="22"/>
        </w:rPr>
        <w:t xml:space="preserve"> an equity investor has been secured for the development</w:t>
      </w:r>
      <w:r w:rsidR="00983F36" w:rsidRPr="00411B94">
        <w:rPr>
          <w:sz w:val="22"/>
        </w:rPr>
        <w:t xml:space="preserve"> at a market pay-in value</w:t>
      </w:r>
      <w:r w:rsidRPr="00411B94">
        <w:rPr>
          <w:sz w:val="22"/>
        </w:rPr>
        <w:t xml:space="preserve">. </w:t>
      </w:r>
    </w:p>
    <w:p w:rsidR="00DA7631" w:rsidRPr="00411B94" w:rsidRDefault="00DA7631" w:rsidP="00DA7631">
      <w:pPr>
        <w:pStyle w:val="Header"/>
        <w:widowControl/>
        <w:tabs>
          <w:tab w:val="clear" w:pos="4320"/>
          <w:tab w:val="clear" w:pos="8640"/>
        </w:tabs>
        <w:adjustRightInd/>
        <w:spacing w:line="240" w:lineRule="auto"/>
        <w:ind w:left="360"/>
        <w:textAlignment w:val="auto"/>
        <w:rPr>
          <w:sz w:val="22"/>
          <w:szCs w:val="22"/>
          <w:u w:color="FF0000"/>
        </w:rPr>
      </w:pPr>
    </w:p>
    <w:p w:rsidR="005F072D" w:rsidRPr="00411B94" w:rsidRDefault="009C7CE5" w:rsidP="00E94493">
      <w:pPr>
        <w:spacing w:line="240" w:lineRule="auto"/>
        <w:jc w:val="center"/>
        <w:rPr>
          <w:b/>
          <w:sz w:val="22"/>
          <w:szCs w:val="22"/>
          <w:u w:val="single"/>
        </w:rPr>
      </w:pPr>
      <w:r w:rsidRPr="00411B94">
        <w:rPr>
          <w:b/>
          <w:sz w:val="22"/>
          <w:szCs w:val="22"/>
          <w:u w:val="single"/>
        </w:rPr>
        <w:t>SET-ASIDES</w:t>
      </w:r>
      <w:r w:rsidR="001A15C6" w:rsidRPr="00411B94">
        <w:rPr>
          <w:b/>
          <w:sz w:val="22"/>
          <w:szCs w:val="22"/>
          <w:u w:val="single"/>
        </w:rPr>
        <w:t>, POOLS</w:t>
      </w:r>
      <w:r w:rsidR="00FC5717" w:rsidRPr="00411B94">
        <w:rPr>
          <w:b/>
          <w:sz w:val="22"/>
          <w:szCs w:val="22"/>
          <w:u w:val="single"/>
        </w:rPr>
        <w:t xml:space="preserve"> </w:t>
      </w:r>
      <w:r w:rsidR="00071518" w:rsidRPr="00411B94">
        <w:rPr>
          <w:b/>
          <w:sz w:val="22"/>
          <w:szCs w:val="22"/>
          <w:u w:val="single"/>
        </w:rPr>
        <w:t>AND</w:t>
      </w:r>
      <w:r w:rsidR="00FC5717" w:rsidRPr="00411B94">
        <w:rPr>
          <w:b/>
          <w:sz w:val="22"/>
          <w:szCs w:val="22"/>
          <w:u w:val="single"/>
        </w:rPr>
        <w:t xml:space="preserve"> PREFERENCES</w:t>
      </w:r>
    </w:p>
    <w:p w:rsidR="005F072D" w:rsidRPr="00411B94" w:rsidRDefault="005F072D" w:rsidP="00E94493">
      <w:pPr>
        <w:spacing w:line="240" w:lineRule="auto"/>
        <w:rPr>
          <w:sz w:val="22"/>
          <w:szCs w:val="22"/>
          <w:u w:val="single"/>
        </w:rPr>
      </w:pPr>
    </w:p>
    <w:p w:rsidR="00751131" w:rsidRPr="00411B94" w:rsidRDefault="00FC5717">
      <w:pPr>
        <w:spacing w:line="240" w:lineRule="auto"/>
        <w:ind w:firstLine="360"/>
        <w:rPr>
          <w:sz w:val="22"/>
          <w:szCs w:val="22"/>
        </w:rPr>
      </w:pPr>
      <w:r w:rsidRPr="00411B94">
        <w:rPr>
          <w:sz w:val="22"/>
          <w:szCs w:val="22"/>
        </w:rPr>
        <w:t xml:space="preserve">In Year </w:t>
      </w:r>
      <w:r w:rsidR="00AF1F86">
        <w:rPr>
          <w:sz w:val="22"/>
          <w:szCs w:val="22"/>
        </w:rPr>
        <w:t>2016</w:t>
      </w:r>
      <w:r w:rsidRPr="00411B94">
        <w:rPr>
          <w:sz w:val="22"/>
          <w:szCs w:val="22"/>
        </w:rPr>
        <w:t>, the Agency will provide Tax Cr</w:t>
      </w:r>
      <w:r w:rsidR="001A15C6" w:rsidRPr="00411B94">
        <w:rPr>
          <w:sz w:val="22"/>
          <w:szCs w:val="22"/>
        </w:rPr>
        <w:t>edits through several Set-Asides, Pools and Pr</w:t>
      </w:r>
      <w:r w:rsidR="001A15C6" w:rsidRPr="00411B94">
        <w:rPr>
          <w:sz w:val="22"/>
          <w:szCs w:val="22"/>
          <w:u w:color="FF0000"/>
        </w:rPr>
        <w:t>e</w:t>
      </w:r>
      <w:r w:rsidR="001A15C6" w:rsidRPr="00411B94">
        <w:rPr>
          <w:sz w:val="22"/>
          <w:szCs w:val="22"/>
        </w:rPr>
        <w:t>ferences</w:t>
      </w:r>
      <w:r w:rsidRPr="00411B94">
        <w:rPr>
          <w:sz w:val="22"/>
          <w:szCs w:val="22"/>
        </w:rPr>
        <w:t xml:space="preserve">.  An outline of these Set-Asides is provided below.  Should additional Tax Credits become available for whatever reason at any time in </w:t>
      </w:r>
      <w:r w:rsidR="00AF1F86">
        <w:rPr>
          <w:sz w:val="22"/>
          <w:szCs w:val="22"/>
        </w:rPr>
        <w:t>2016</w:t>
      </w:r>
      <w:r w:rsidRPr="00411B94">
        <w:rPr>
          <w:sz w:val="22"/>
          <w:szCs w:val="22"/>
        </w:rPr>
        <w:t xml:space="preserve">, the Agency will not issue an amendment to this Allocation Plan but will instead make allocations of such additional Tax Credits based upon priorities and preferences set forth in this Allocation Plan as it deems appropriate.  The amounts available in each Set-Aside may be adjusted by the Agency to ensure adequate and appropriate funding of the </w:t>
      </w:r>
      <w:r w:rsidR="005D7047" w:rsidRPr="00411B94">
        <w:rPr>
          <w:sz w:val="22"/>
          <w:szCs w:val="22"/>
        </w:rPr>
        <w:t xml:space="preserve">Applicants </w:t>
      </w:r>
      <w:r w:rsidRPr="00411B94">
        <w:rPr>
          <w:sz w:val="22"/>
          <w:szCs w:val="22"/>
        </w:rPr>
        <w:t>meeting the Program criteria.</w:t>
      </w:r>
    </w:p>
    <w:p w:rsidR="00751131" w:rsidRPr="00411B94" w:rsidRDefault="00751131">
      <w:pPr>
        <w:widowControl/>
        <w:adjustRightInd/>
        <w:spacing w:line="240" w:lineRule="auto"/>
        <w:jc w:val="center"/>
        <w:textAlignment w:val="auto"/>
        <w:rPr>
          <w:b/>
          <w:sz w:val="22"/>
          <w:szCs w:val="22"/>
        </w:rPr>
      </w:pPr>
    </w:p>
    <w:p w:rsidR="00751131" w:rsidRPr="00411B94" w:rsidRDefault="00FC5717">
      <w:pPr>
        <w:widowControl/>
        <w:adjustRightInd/>
        <w:spacing w:line="240" w:lineRule="auto"/>
        <w:jc w:val="center"/>
        <w:textAlignment w:val="auto"/>
        <w:rPr>
          <w:b/>
          <w:sz w:val="22"/>
          <w:szCs w:val="22"/>
        </w:rPr>
      </w:pPr>
      <w:r w:rsidRPr="00411B94">
        <w:rPr>
          <w:b/>
          <w:sz w:val="22"/>
          <w:szCs w:val="22"/>
        </w:rPr>
        <w:t>Set-Aside Percentages</w:t>
      </w:r>
    </w:p>
    <w:p w:rsidR="00751131" w:rsidRPr="00411B94" w:rsidRDefault="00751131">
      <w:pPr>
        <w:widowControl/>
        <w:adjustRightInd/>
        <w:spacing w:line="240" w:lineRule="auto"/>
        <w:jc w:val="center"/>
        <w:textAlignment w:val="auto"/>
        <w:rPr>
          <w:b/>
          <w:sz w:val="22"/>
          <w:szCs w:val="22"/>
        </w:rPr>
      </w:pPr>
    </w:p>
    <w:tbl>
      <w:tblPr>
        <w:tblW w:w="0" w:type="auto"/>
        <w:jc w:val="center"/>
        <w:tblLayout w:type="fixed"/>
        <w:tblLook w:val="0000" w:firstRow="0" w:lastRow="0" w:firstColumn="0" w:lastColumn="0" w:noHBand="0" w:noVBand="0"/>
      </w:tblPr>
      <w:tblGrid>
        <w:gridCol w:w="3375"/>
        <w:gridCol w:w="997"/>
        <w:gridCol w:w="1793"/>
      </w:tblGrid>
      <w:tr w:rsidR="00FC5717" w:rsidRPr="00411B94" w:rsidTr="00B30B72">
        <w:trPr>
          <w:jc w:val="center"/>
        </w:trPr>
        <w:tc>
          <w:tcPr>
            <w:tcW w:w="3375" w:type="dxa"/>
          </w:tcPr>
          <w:p w:rsidR="00751131" w:rsidRPr="00411B94" w:rsidRDefault="00751131">
            <w:pPr>
              <w:spacing w:line="240" w:lineRule="auto"/>
              <w:jc w:val="center"/>
              <w:rPr>
                <w:b/>
                <w:sz w:val="22"/>
                <w:szCs w:val="22"/>
                <w:u w:val="single"/>
              </w:rPr>
            </w:pPr>
          </w:p>
          <w:p w:rsidR="00751131" w:rsidRPr="00411B94" w:rsidRDefault="00FC5717">
            <w:pPr>
              <w:spacing w:line="240" w:lineRule="auto"/>
              <w:jc w:val="center"/>
              <w:rPr>
                <w:b/>
                <w:sz w:val="22"/>
                <w:szCs w:val="22"/>
                <w:u w:val="single"/>
              </w:rPr>
            </w:pPr>
            <w:r w:rsidRPr="00411B94">
              <w:rPr>
                <w:b/>
                <w:sz w:val="22"/>
                <w:szCs w:val="22"/>
                <w:u w:val="single"/>
              </w:rPr>
              <w:t>Set-Asides</w:t>
            </w:r>
          </w:p>
        </w:tc>
        <w:tc>
          <w:tcPr>
            <w:tcW w:w="2790" w:type="dxa"/>
            <w:gridSpan w:val="2"/>
          </w:tcPr>
          <w:p w:rsidR="00751131" w:rsidRPr="00411B94" w:rsidRDefault="00FC5717">
            <w:pPr>
              <w:spacing w:line="240" w:lineRule="auto"/>
              <w:jc w:val="center"/>
              <w:rPr>
                <w:b/>
                <w:sz w:val="22"/>
                <w:szCs w:val="22"/>
              </w:rPr>
            </w:pPr>
            <w:r w:rsidRPr="00411B94">
              <w:rPr>
                <w:b/>
                <w:sz w:val="22"/>
                <w:szCs w:val="22"/>
              </w:rPr>
              <w:t>Percentage of Tax Credits</w:t>
            </w:r>
          </w:p>
          <w:p w:rsidR="00751131" w:rsidRPr="00411B94" w:rsidRDefault="00FC5717">
            <w:pPr>
              <w:spacing w:after="120" w:line="240" w:lineRule="auto"/>
              <w:jc w:val="center"/>
              <w:rPr>
                <w:b/>
                <w:sz w:val="22"/>
                <w:szCs w:val="22"/>
                <w:u w:val="single"/>
              </w:rPr>
            </w:pPr>
            <w:r w:rsidRPr="00411B94">
              <w:rPr>
                <w:b/>
                <w:sz w:val="22"/>
                <w:szCs w:val="22"/>
                <w:u w:val="single"/>
              </w:rPr>
              <w:t>to be Allocated</w:t>
            </w:r>
          </w:p>
        </w:tc>
      </w:tr>
      <w:tr w:rsidR="00897800" w:rsidRPr="00411B94" w:rsidTr="00B30B72">
        <w:trPr>
          <w:jc w:val="center"/>
        </w:trPr>
        <w:tc>
          <w:tcPr>
            <w:tcW w:w="3375" w:type="dxa"/>
          </w:tcPr>
          <w:p w:rsidR="00897800" w:rsidRPr="00411B94" w:rsidRDefault="00897800">
            <w:pPr>
              <w:spacing w:line="240" w:lineRule="auto"/>
              <w:rPr>
                <w:sz w:val="22"/>
                <w:szCs w:val="22"/>
              </w:rPr>
            </w:pPr>
            <w:r w:rsidRPr="00411B94">
              <w:rPr>
                <w:sz w:val="22"/>
                <w:szCs w:val="22"/>
              </w:rPr>
              <w:t>Geographic Set-Aside</w:t>
            </w:r>
          </w:p>
        </w:tc>
        <w:tc>
          <w:tcPr>
            <w:tcW w:w="997" w:type="dxa"/>
          </w:tcPr>
          <w:p w:rsidR="00897800" w:rsidRPr="00411B94" w:rsidRDefault="00897800">
            <w:pPr>
              <w:spacing w:line="240" w:lineRule="auto"/>
              <w:jc w:val="center"/>
              <w:rPr>
                <w:sz w:val="22"/>
                <w:szCs w:val="22"/>
              </w:rPr>
            </w:pPr>
          </w:p>
        </w:tc>
        <w:tc>
          <w:tcPr>
            <w:tcW w:w="1793" w:type="dxa"/>
          </w:tcPr>
          <w:p w:rsidR="00897800" w:rsidRPr="00411B94" w:rsidRDefault="00897800">
            <w:pPr>
              <w:tabs>
                <w:tab w:val="decimal" w:pos="605"/>
              </w:tabs>
              <w:spacing w:line="240" w:lineRule="auto"/>
              <w:rPr>
                <w:sz w:val="22"/>
                <w:szCs w:val="22"/>
              </w:rPr>
            </w:pPr>
          </w:p>
        </w:tc>
      </w:tr>
      <w:tr w:rsidR="00FC5717" w:rsidRPr="00411B94" w:rsidTr="00B30B72">
        <w:trPr>
          <w:jc w:val="center"/>
        </w:trPr>
        <w:tc>
          <w:tcPr>
            <w:tcW w:w="3375" w:type="dxa"/>
          </w:tcPr>
          <w:p w:rsidR="00751131" w:rsidRPr="00411B94" w:rsidRDefault="00897800">
            <w:pPr>
              <w:spacing w:line="240" w:lineRule="auto"/>
              <w:rPr>
                <w:sz w:val="22"/>
                <w:szCs w:val="22"/>
              </w:rPr>
            </w:pPr>
            <w:r w:rsidRPr="00411B94">
              <w:rPr>
                <w:sz w:val="22"/>
                <w:szCs w:val="22"/>
              </w:rPr>
              <w:t xml:space="preserve">  </w:t>
            </w:r>
            <w:r w:rsidR="00FC5717" w:rsidRPr="00411B94">
              <w:rPr>
                <w:sz w:val="22"/>
                <w:szCs w:val="22"/>
              </w:rPr>
              <w:t xml:space="preserve">Urban </w:t>
            </w:r>
            <w:r w:rsidRPr="00411B94">
              <w:rPr>
                <w:sz w:val="22"/>
                <w:szCs w:val="22"/>
              </w:rPr>
              <w:t>Pool</w:t>
            </w:r>
            <w:r w:rsidR="004F77CB" w:rsidRPr="00411B94">
              <w:rPr>
                <w:sz w:val="22"/>
                <w:szCs w:val="22"/>
              </w:rPr>
              <w:t>*</w:t>
            </w:r>
          </w:p>
        </w:tc>
        <w:tc>
          <w:tcPr>
            <w:tcW w:w="997" w:type="dxa"/>
          </w:tcPr>
          <w:p w:rsidR="00751131" w:rsidRPr="00411B94" w:rsidRDefault="00751131">
            <w:pPr>
              <w:spacing w:line="240" w:lineRule="auto"/>
              <w:jc w:val="center"/>
              <w:rPr>
                <w:sz w:val="22"/>
                <w:szCs w:val="22"/>
              </w:rPr>
            </w:pPr>
          </w:p>
        </w:tc>
        <w:tc>
          <w:tcPr>
            <w:tcW w:w="1793" w:type="dxa"/>
          </w:tcPr>
          <w:p w:rsidR="00751131" w:rsidRPr="00411B94" w:rsidRDefault="00FC5717">
            <w:pPr>
              <w:tabs>
                <w:tab w:val="decimal" w:pos="605"/>
              </w:tabs>
              <w:spacing w:line="240" w:lineRule="auto"/>
              <w:rPr>
                <w:sz w:val="22"/>
                <w:szCs w:val="22"/>
              </w:rPr>
            </w:pPr>
            <w:r w:rsidRPr="00411B94">
              <w:rPr>
                <w:sz w:val="22"/>
                <w:szCs w:val="22"/>
              </w:rPr>
              <w:t>47.5</w:t>
            </w:r>
            <w:r w:rsidR="004F77CB" w:rsidRPr="00411B94">
              <w:rPr>
                <w:sz w:val="22"/>
                <w:szCs w:val="22"/>
              </w:rPr>
              <w:t>0</w:t>
            </w:r>
            <w:r w:rsidRPr="00411B94">
              <w:rPr>
                <w:sz w:val="22"/>
                <w:szCs w:val="22"/>
              </w:rPr>
              <w:t>%</w:t>
            </w:r>
          </w:p>
        </w:tc>
      </w:tr>
      <w:tr w:rsidR="00FC5717" w:rsidRPr="00411B94" w:rsidTr="00B30B72">
        <w:trPr>
          <w:jc w:val="center"/>
        </w:trPr>
        <w:tc>
          <w:tcPr>
            <w:tcW w:w="3375" w:type="dxa"/>
          </w:tcPr>
          <w:p w:rsidR="00751131" w:rsidRPr="00411B94" w:rsidRDefault="00001EE4">
            <w:pPr>
              <w:spacing w:line="240" w:lineRule="auto"/>
              <w:rPr>
                <w:sz w:val="22"/>
                <w:szCs w:val="22"/>
              </w:rPr>
            </w:pPr>
            <w:r w:rsidRPr="00411B94">
              <w:rPr>
                <w:sz w:val="22"/>
                <w:szCs w:val="22"/>
              </w:rPr>
              <w:t xml:space="preserve">  </w:t>
            </w:r>
            <w:r w:rsidR="004F77CB" w:rsidRPr="00411B94">
              <w:rPr>
                <w:sz w:val="22"/>
                <w:szCs w:val="22"/>
              </w:rPr>
              <w:t xml:space="preserve">Suburban/Rural </w:t>
            </w:r>
            <w:r w:rsidR="00897800" w:rsidRPr="00411B94">
              <w:rPr>
                <w:sz w:val="22"/>
                <w:szCs w:val="22"/>
              </w:rPr>
              <w:t>Pool</w:t>
            </w:r>
          </w:p>
        </w:tc>
        <w:tc>
          <w:tcPr>
            <w:tcW w:w="997" w:type="dxa"/>
          </w:tcPr>
          <w:p w:rsidR="00751131" w:rsidRPr="00411B94" w:rsidRDefault="00751131">
            <w:pPr>
              <w:spacing w:line="240" w:lineRule="auto"/>
              <w:jc w:val="center"/>
              <w:rPr>
                <w:sz w:val="22"/>
                <w:szCs w:val="22"/>
              </w:rPr>
            </w:pPr>
          </w:p>
        </w:tc>
        <w:tc>
          <w:tcPr>
            <w:tcW w:w="1793" w:type="dxa"/>
          </w:tcPr>
          <w:p w:rsidR="00751131" w:rsidRPr="00411B94" w:rsidRDefault="004F77CB">
            <w:pPr>
              <w:tabs>
                <w:tab w:val="decimal" w:pos="605"/>
              </w:tabs>
              <w:spacing w:line="240" w:lineRule="auto"/>
              <w:rPr>
                <w:sz w:val="22"/>
                <w:szCs w:val="22"/>
              </w:rPr>
            </w:pPr>
            <w:r w:rsidRPr="00411B94">
              <w:rPr>
                <w:sz w:val="22"/>
                <w:szCs w:val="22"/>
              </w:rPr>
              <w:t>47.50</w:t>
            </w:r>
            <w:r w:rsidR="00FC5717" w:rsidRPr="00411B94">
              <w:rPr>
                <w:sz w:val="22"/>
                <w:szCs w:val="22"/>
              </w:rPr>
              <w:t>%</w:t>
            </w:r>
          </w:p>
        </w:tc>
      </w:tr>
      <w:tr w:rsidR="00FC5717" w:rsidRPr="00411B94" w:rsidTr="00B30B72">
        <w:trPr>
          <w:jc w:val="center"/>
        </w:trPr>
        <w:tc>
          <w:tcPr>
            <w:tcW w:w="3375" w:type="dxa"/>
          </w:tcPr>
          <w:p w:rsidR="00751131" w:rsidRPr="00411B94" w:rsidRDefault="00FC5717">
            <w:pPr>
              <w:spacing w:line="240" w:lineRule="auto"/>
              <w:rPr>
                <w:sz w:val="22"/>
                <w:szCs w:val="22"/>
              </w:rPr>
            </w:pPr>
            <w:r w:rsidRPr="00411B94">
              <w:rPr>
                <w:sz w:val="22"/>
                <w:szCs w:val="22"/>
              </w:rPr>
              <w:t>Additional Tax Credits</w:t>
            </w:r>
          </w:p>
        </w:tc>
        <w:tc>
          <w:tcPr>
            <w:tcW w:w="997" w:type="dxa"/>
          </w:tcPr>
          <w:p w:rsidR="00751131" w:rsidRPr="00411B94" w:rsidRDefault="00751131">
            <w:pPr>
              <w:spacing w:line="240" w:lineRule="auto"/>
              <w:jc w:val="center"/>
              <w:rPr>
                <w:sz w:val="22"/>
                <w:szCs w:val="22"/>
                <w:u w:val="single"/>
              </w:rPr>
            </w:pPr>
          </w:p>
        </w:tc>
        <w:tc>
          <w:tcPr>
            <w:tcW w:w="1793" w:type="dxa"/>
          </w:tcPr>
          <w:p w:rsidR="00751131" w:rsidRPr="00411B94" w:rsidRDefault="00FC5717">
            <w:pPr>
              <w:tabs>
                <w:tab w:val="decimal" w:pos="605"/>
              </w:tabs>
              <w:spacing w:line="240" w:lineRule="auto"/>
              <w:rPr>
                <w:sz w:val="22"/>
                <w:szCs w:val="22"/>
                <w:u w:val="single"/>
              </w:rPr>
            </w:pPr>
            <w:r w:rsidRPr="00411B94">
              <w:rPr>
                <w:sz w:val="22"/>
                <w:szCs w:val="22"/>
              </w:rPr>
              <w:t>5.00%</w:t>
            </w:r>
          </w:p>
        </w:tc>
      </w:tr>
      <w:tr w:rsidR="00FC5717" w:rsidRPr="00411B94" w:rsidTr="00B30B72">
        <w:trPr>
          <w:jc w:val="center"/>
        </w:trPr>
        <w:tc>
          <w:tcPr>
            <w:tcW w:w="3375" w:type="dxa"/>
          </w:tcPr>
          <w:p w:rsidR="00751131" w:rsidRPr="00411B94" w:rsidRDefault="00FC5717">
            <w:pPr>
              <w:spacing w:line="240" w:lineRule="auto"/>
              <w:rPr>
                <w:sz w:val="22"/>
                <w:szCs w:val="22"/>
              </w:rPr>
            </w:pPr>
            <w:r w:rsidRPr="00411B94">
              <w:rPr>
                <w:sz w:val="22"/>
                <w:szCs w:val="22"/>
              </w:rPr>
              <w:t xml:space="preserve">     Total </w:t>
            </w:r>
          </w:p>
        </w:tc>
        <w:tc>
          <w:tcPr>
            <w:tcW w:w="997" w:type="dxa"/>
          </w:tcPr>
          <w:p w:rsidR="00751131" w:rsidRPr="00411B94" w:rsidRDefault="00751131">
            <w:pPr>
              <w:spacing w:line="240" w:lineRule="auto"/>
              <w:jc w:val="center"/>
              <w:rPr>
                <w:sz w:val="22"/>
                <w:szCs w:val="22"/>
              </w:rPr>
            </w:pPr>
          </w:p>
        </w:tc>
        <w:tc>
          <w:tcPr>
            <w:tcW w:w="1793" w:type="dxa"/>
          </w:tcPr>
          <w:p w:rsidR="00751131" w:rsidRPr="00411B94" w:rsidRDefault="00FC5717">
            <w:pPr>
              <w:tabs>
                <w:tab w:val="decimal" w:pos="605"/>
              </w:tabs>
              <w:spacing w:line="240" w:lineRule="auto"/>
              <w:rPr>
                <w:sz w:val="22"/>
                <w:szCs w:val="22"/>
              </w:rPr>
            </w:pPr>
            <w:r w:rsidRPr="00411B94">
              <w:rPr>
                <w:sz w:val="22"/>
                <w:szCs w:val="22"/>
              </w:rPr>
              <w:t>100.00%</w:t>
            </w:r>
          </w:p>
        </w:tc>
      </w:tr>
    </w:tbl>
    <w:p w:rsidR="004F77CB" w:rsidRPr="00411B94" w:rsidRDefault="004F77CB">
      <w:pPr>
        <w:spacing w:line="240" w:lineRule="auto"/>
        <w:ind w:left="360" w:firstLine="360"/>
        <w:rPr>
          <w:sz w:val="22"/>
          <w:szCs w:val="22"/>
        </w:rPr>
      </w:pPr>
    </w:p>
    <w:p w:rsidR="00751131" w:rsidRPr="00411B94" w:rsidRDefault="004F77CB">
      <w:pPr>
        <w:spacing w:line="240" w:lineRule="auto"/>
        <w:ind w:left="1080" w:right="378"/>
        <w:rPr>
          <w:sz w:val="22"/>
          <w:szCs w:val="22"/>
        </w:rPr>
      </w:pPr>
      <w:r w:rsidRPr="00411B94">
        <w:rPr>
          <w:sz w:val="22"/>
          <w:szCs w:val="22"/>
        </w:rPr>
        <w:t xml:space="preserve">* See </w:t>
      </w:r>
      <w:r w:rsidRPr="00411B94">
        <w:rPr>
          <w:sz w:val="22"/>
          <w:szCs w:val="22"/>
          <w:u w:color="FF0000"/>
        </w:rPr>
        <w:t>“</w:t>
      </w:r>
      <w:r w:rsidRPr="00411B94">
        <w:rPr>
          <w:sz w:val="22"/>
          <w:szCs w:val="22"/>
        </w:rPr>
        <w:t xml:space="preserve">Exhibit Urban Areas” for complete list of the applicable municipalities. </w:t>
      </w:r>
      <w:r w:rsidR="0050062B" w:rsidRPr="00411B94">
        <w:rPr>
          <w:sz w:val="22"/>
          <w:szCs w:val="22"/>
        </w:rPr>
        <w:t>Fifty</w:t>
      </w:r>
      <w:r w:rsidRPr="00411B94">
        <w:rPr>
          <w:sz w:val="22"/>
          <w:szCs w:val="22"/>
        </w:rPr>
        <w:t xml:space="preserve"> percent (</w:t>
      </w:r>
      <w:r w:rsidR="0050062B" w:rsidRPr="00411B94">
        <w:rPr>
          <w:sz w:val="22"/>
          <w:szCs w:val="22"/>
        </w:rPr>
        <w:t>50</w:t>
      </w:r>
      <w:r w:rsidRPr="00411B94">
        <w:rPr>
          <w:sz w:val="22"/>
          <w:szCs w:val="22"/>
        </w:rPr>
        <w:t xml:space="preserve">%) of this amount will initially be set aside to fund developments located in municipalities other than Philadelphia.  </w:t>
      </w:r>
    </w:p>
    <w:p w:rsidR="004F77CB" w:rsidRPr="00411B94" w:rsidRDefault="004F77CB" w:rsidP="004F77CB">
      <w:pPr>
        <w:spacing w:line="240" w:lineRule="auto"/>
        <w:ind w:left="1080"/>
      </w:pPr>
    </w:p>
    <w:p w:rsidR="0008261E" w:rsidRPr="00411B94" w:rsidRDefault="009623C5">
      <w:pPr>
        <w:spacing w:line="240" w:lineRule="auto"/>
        <w:ind w:left="360" w:firstLine="360"/>
        <w:rPr>
          <w:sz w:val="22"/>
          <w:szCs w:val="22"/>
        </w:rPr>
      </w:pPr>
      <w:r w:rsidRPr="00411B94">
        <w:rPr>
          <w:sz w:val="22"/>
          <w:szCs w:val="22"/>
        </w:rPr>
        <w:t xml:space="preserve">The Agency has established preferences for certain types of developments in each </w:t>
      </w:r>
      <w:r w:rsidR="00897800" w:rsidRPr="00411B94">
        <w:rPr>
          <w:sz w:val="22"/>
          <w:szCs w:val="22"/>
        </w:rPr>
        <w:t xml:space="preserve">Pool </w:t>
      </w:r>
      <w:r w:rsidRPr="00411B94">
        <w:rPr>
          <w:sz w:val="22"/>
          <w:szCs w:val="22"/>
        </w:rPr>
        <w:t xml:space="preserve">which include general occupancy, senior occupancy (ages 62 and over), properties furthering the preservation of affordable housing, applications for supportive housing, community revitalization developments, areas of opportunity and Strategic Investment developments (as more fully described herein).  </w:t>
      </w:r>
      <w:r w:rsidRPr="00411B94">
        <w:rPr>
          <w:b/>
          <w:sz w:val="22"/>
          <w:szCs w:val="22"/>
        </w:rPr>
        <w:t>The Agency may also provide a preference to developments using Commonwealth-sponsored pilot programs</w:t>
      </w:r>
      <w:r w:rsidR="00E04382">
        <w:rPr>
          <w:b/>
          <w:sz w:val="22"/>
          <w:szCs w:val="22"/>
        </w:rPr>
        <w:t xml:space="preserve">, </w:t>
      </w:r>
      <w:r w:rsidR="00A7697B" w:rsidRPr="00A7697B">
        <w:rPr>
          <w:b/>
          <w:color w:val="FF0000"/>
          <w:sz w:val="22"/>
          <w:szCs w:val="22"/>
        </w:rPr>
        <w:t xml:space="preserve">developments </w:t>
      </w:r>
      <w:r w:rsidR="00E04382" w:rsidRPr="00A7697B">
        <w:rPr>
          <w:b/>
          <w:color w:val="FF0000"/>
          <w:sz w:val="22"/>
          <w:szCs w:val="22"/>
        </w:rPr>
        <w:t xml:space="preserve">providing employment opportunities for property or community residents </w:t>
      </w:r>
      <w:r w:rsidR="00E04382">
        <w:rPr>
          <w:b/>
          <w:sz w:val="22"/>
          <w:szCs w:val="22"/>
        </w:rPr>
        <w:t>or</w:t>
      </w:r>
      <w:r w:rsidR="00491A05" w:rsidRPr="00411B94">
        <w:rPr>
          <w:b/>
          <w:sz w:val="22"/>
          <w:szCs w:val="22"/>
        </w:rPr>
        <w:t xml:space="preserve"> meeting</w:t>
      </w:r>
      <w:r w:rsidRPr="00411B94">
        <w:rPr>
          <w:b/>
          <w:sz w:val="22"/>
          <w:szCs w:val="22"/>
        </w:rPr>
        <w:t xml:space="preserve"> specific market needs or Agency hou</w:t>
      </w:r>
      <w:r w:rsidR="004D2227" w:rsidRPr="00411B94">
        <w:rPr>
          <w:b/>
          <w:sz w:val="22"/>
          <w:szCs w:val="22"/>
        </w:rPr>
        <w:t>sing goals.</w:t>
      </w:r>
    </w:p>
    <w:p w:rsidR="008A54C8" w:rsidRPr="00411B94" w:rsidRDefault="008A54C8">
      <w:pPr>
        <w:spacing w:line="240" w:lineRule="auto"/>
        <w:ind w:left="360" w:firstLine="360"/>
        <w:rPr>
          <w:sz w:val="22"/>
          <w:szCs w:val="22"/>
        </w:rPr>
      </w:pPr>
    </w:p>
    <w:p w:rsidR="0008261E" w:rsidRPr="00411B94" w:rsidRDefault="009623C5" w:rsidP="00FF7EC2">
      <w:pPr>
        <w:widowControl/>
        <w:spacing w:line="240" w:lineRule="auto"/>
        <w:ind w:left="360" w:firstLine="360"/>
        <w:rPr>
          <w:sz w:val="22"/>
          <w:szCs w:val="22"/>
        </w:rPr>
      </w:pPr>
      <w:r w:rsidRPr="00411B94">
        <w:rPr>
          <w:sz w:val="22"/>
          <w:szCs w:val="22"/>
        </w:rPr>
        <w:t xml:space="preserve">Preferences for certain types of housing have been established as minimum goals by the Agency in meeting certain housing needs of the Commonwealth.  </w:t>
      </w:r>
      <w:r w:rsidR="005D7047" w:rsidRPr="00411B94">
        <w:rPr>
          <w:sz w:val="22"/>
          <w:szCs w:val="22"/>
        </w:rPr>
        <w:t>Applicants</w:t>
      </w:r>
      <w:r w:rsidRPr="00411B94">
        <w:rPr>
          <w:sz w:val="22"/>
          <w:szCs w:val="22"/>
        </w:rPr>
        <w:t xml:space="preserve"> may be considered in more than one category and will have been deemed to have met both for purposes of meeting the stated housing goals.  </w:t>
      </w:r>
      <w:r w:rsidR="00E41FCC" w:rsidRPr="00411B94">
        <w:rPr>
          <w:sz w:val="22"/>
          <w:szCs w:val="22"/>
        </w:rPr>
        <w:t xml:space="preserve">Due to the limited amount of </w:t>
      </w:r>
      <w:r w:rsidR="00AF1F86">
        <w:rPr>
          <w:sz w:val="22"/>
          <w:szCs w:val="22"/>
        </w:rPr>
        <w:t>2016</w:t>
      </w:r>
      <w:r w:rsidR="00E41FCC" w:rsidRPr="00411B94">
        <w:rPr>
          <w:sz w:val="22"/>
          <w:szCs w:val="22"/>
        </w:rPr>
        <w:t xml:space="preserve"> Tax Credits which may be available, these minimum goals may be adjusted or modified </w:t>
      </w:r>
      <w:r w:rsidR="00E41FCC" w:rsidRPr="00411B94">
        <w:rPr>
          <w:sz w:val="22"/>
          <w:szCs w:val="22"/>
        </w:rPr>
        <w:lastRenderedPageBreak/>
        <w:t xml:space="preserve">accordingly. </w:t>
      </w:r>
      <w:r w:rsidR="005D7047" w:rsidRPr="00411B94">
        <w:rPr>
          <w:sz w:val="22"/>
          <w:szCs w:val="22"/>
        </w:rPr>
        <w:t>Applicants</w:t>
      </w:r>
      <w:r w:rsidR="003A5245" w:rsidRPr="00411B94">
        <w:rPr>
          <w:sz w:val="22"/>
          <w:szCs w:val="22"/>
        </w:rPr>
        <w:t xml:space="preserve"> meeting more than one of these categories may be advantaged durin</w:t>
      </w:r>
      <w:r w:rsidR="004D2227" w:rsidRPr="00411B94">
        <w:rPr>
          <w:sz w:val="22"/>
          <w:szCs w:val="22"/>
        </w:rPr>
        <w:t>g the ranking/scoring process.</w:t>
      </w:r>
      <w:r w:rsidR="00CC6E5C" w:rsidRPr="00411B94">
        <w:rPr>
          <w:sz w:val="22"/>
          <w:szCs w:val="22"/>
        </w:rPr>
        <w:t xml:space="preserve">  </w:t>
      </w:r>
    </w:p>
    <w:p w:rsidR="00D55217" w:rsidRPr="00411B94" w:rsidRDefault="00D55217">
      <w:pPr>
        <w:spacing w:line="240" w:lineRule="auto"/>
        <w:ind w:left="360" w:firstLine="360"/>
        <w:rPr>
          <w:sz w:val="22"/>
          <w:szCs w:val="22"/>
        </w:rPr>
      </w:pPr>
    </w:p>
    <w:p w:rsidR="00491A05" w:rsidRPr="00411B94" w:rsidRDefault="009623C5">
      <w:pPr>
        <w:pStyle w:val="ListParagraph"/>
        <w:widowControl/>
        <w:numPr>
          <w:ilvl w:val="0"/>
          <w:numId w:val="48"/>
        </w:numPr>
        <w:adjustRightInd/>
        <w:spacing w:line="240" w:lineRule="auto"/>
        <w:ind w:left="720"/>
        <w:textAlignment w:val="auto"/>
        <w:rPr>
          <w:sz w:val="22"/>
          <w:szCs w:val="22"/>
        </w:rPr>
      </w:pPr>
      <w:r w:rsidRPr="00411B94">
        <w:rPr>
          <w:sz w:val="22"/>
          <w:szCs w:val="22"/>
        </w:rPr>
        <w:t xml:space="preserve">General Occupancy </w:t>
      </w:r>
      <w:r w:rsidR="004D2227" w:rsidRPr="00411B94">
        <w:rPr>
          <w:sz w:val="22"/>
          <w:szCs w:val="22"/>
        </w:rPr>
        <w:t>-</w:t>
      </w:r>
      <w:r w:rsidRPr="00411B94">
        <w:rPr>
          <w:sz w:val="22"/>
          <w:szCs w:val="22"/>
        </w:rPr>
        <w:t xml:space="preserve"> The Agency will reserve Tax Credits to, at a minimum, three (3</w:t>
      </w:r>
      <w:r w:rsidR="004D2227" w:rsidRPr="00411B94">
        <w:rPr>
          <w:sz w:val="22"/>
          <w:szCs w:val="22"/>
        </w:rPr>
        <w:t>) general occupancy properties</w:t>
      </w:r>
      <w:r w:rsidR="00A61C26" w:rsidRPr="00411B94">
        <w:rPr>
          <w:sz w:val="22"/>
          <w:szCs w:val="22"/>
        </w:rPr>
        <w:t xml:space="preserve"> in each </w:t>
      </w:r>
      <w:r w:rsidR="00897800" w:rsidRPr="00411B94">
        <w:rPr>
          <w:sz w:val="22"/>
          <w:szCs w:val="22"/>
        </w:rPr>
        <w:t>Pool</w:t>
      </w:r>
      <w:r w:rsidR="004D2227" w:rsidRPr="00411B94">
        <w:rPr>
          <w:sz w:val="22"/>
          <w:szCs w:val="22"/>
        </w:rPr>
        <w:t>.</w:t>
      </w:r>
    </w:p>
    <w:p w:rsidR="00491A05" w:rsidRPr="00411B94" w:rsidRDefault="00491A05">
      <w:pPr>
        <w:widowControl/>
        <w:adjustRightInd/>
        <w:spacing w:line="240" w:lineRule="auto"/>
        <w:ind w:left="720"/>
        <w:textAlignment w:val="auto"/>
        <w:rPr>
          <w:sz w:val="22"/>
          <w:szCs w:val="22"/>
        </w:rPr>
      </w:pPr>
    </w:p>
    <w:p w:rsidR="00FA30D4" w:rsidRPr="00411B94" w:rsidRDefault="009623C5" w:rsidP="007944FD">
      <w:pPr>
        <w:pStyle w:val="ListParagraph"/>
        <w:widowControl/>
        <w:numPr>
          <w:ilvl w:val="0"/>
          <w:numId w:val="48"/>
        </w:numPr>
        <w:adjustRightInd/>
        <w:spacing w:line="240" w:lineRule="auto"/>
        <w:ind w:left="720"/>
        <w:textAlignment w:val="auto"/>
        <w:rPr>
          <w:sz w:val="22"/>
          <w:szCs w:val="22"/>
        </w:rPr>
      </w:pPr>
      <w:r w:rsidRPr="00411B94">
        <w:rPr>
          <w:sz w:val="22"/>
          <w:szCs w:val="22"/>
        </w:rPr>
        <w:t>Senior Occupancy</w:t>
      </w:r>
      <w:r w:rsidR="00730970" w:rsidRPr="00411B94">
        <w:rPr>
          <w:sz w:val="22"/>
          <w:szCs w:val="22"/>
        </w:rPr>
        <w:t xml:space="preserve"> </w:t>
      </w:r>
      <w:r w:rsidRPr="00411B94">
        <w:rPr>
          <w:sz w:val="22"/>
          <w:szCs w:val="22"/>
        </w:rPr>
        <w:t xml:space="preserve">62+ </w:t>
      </w:r>
      <w:r w:rsidR="00730970" w:rsidRPr="00411B94">
        <w:rPr>
          <w:sz w:val="22"/>
          <w:szCs w:val="22"/>
        </w:rPr>
        <w:t>with Services</w:t>
      </w:r>
      <w:r w:rsidRPr="00411B94">
        <w:rPr>
          <w:sz w:val="22"/>
          <w:szCs w:val="22"/>
        </w:rPr>
        <w:t xml:space="preserve"> </w:t>
      </w:r>
      <w:r w:rsidR="004F77CB" w:rsidRPr="00411B94">
        <w:rPr>
          <w:sz w:val="22"/>
          <w:szCs w:val="22"/>
        </w:rPr>
        <w:t xml:space="preserve">- </w:t>
      </w:r>
      <w:r w:rsidRPr="00411B94">
        <w:rPr>
          <w:sz w:val="22"/>
          <w:szCs w:val="22"/>
        </w:rPr>
        <w:t xml:space="preserve">The Agency will reserve Tax Credits to, at a minimum, two (2) senior occupancy developments targeting persons 62 years </w:t>
      </w:r>
      <w:r w:rsidR="003560E8" w:rsidRPr="00411B94">
        <w:rPr>
          <w:sz w:val="22"/>
          <w:szCs w:val="22"/>
        </w:rPr>
        <w:t>of age</w:t>
      </w:r>
      <w:r w:rsidR="00CC428C" w:rsidRPr="00411B94">
        <w:rPr>
          <w:sz w:val="22"/>
          <w:szCs w:val="22"/>
        </w:rPr>
        <w:t xml:space="preserve"> </w:t>
      </w:r>
      <w:r w:rsidRPr="00411B94">
        <w:rPr>
          <w:sz w:val="22"/>
          <w:szCs w:val="22"/>
        </w:rPr>
        <w:t>and above</w:t>
      </w:r>
      <w:r w:rsidR="00A61C26" w:rsidRPr="00411B94">
        <w:rPr>
          <w:sz w:val="22"/>
          <w:szCs w:val="22"/>
        </w:rPr>
        <w:t xml:space="preserve"> in each </w:t>
      </w:r>
      <w:r w:rsidR="00897800" w:rsidRPr="00411B94">
        <w:rPr>
          <w:sz w:val="22"/>
          <w:szCs w:val="22"/>
        </w:rPr>
        <w:t>Pool</w:t>
      </w:r>
      <w:r w:rsidRPr="00411B94">
        <w:rPr>
          <w:sz w:val="22"/>
          <w:szCs w:val="22"/>
        </w:rPr>
        <w:t xml:space="preserve">.  Eligibility for this preference will require demonstration that services will be provided to residents to enable them to continue to live independently. </w:t>
      </w:r>
    </w:p>
    <w:p w:rsidR="009425FA" w:rsidRPr="00411B94" w:rsidRDefault="009425FA" w:rsidP="009425FA">
      <w:pPr>
        <w:pStyle w:val="ListParagraph"/>
        <w:widowControl/>
        <w:adjustRightInd/>
        <w:spacing w:line="240" w:lineRule="auto"/>
        <w:textAlignment w:val="auto"/>
        <w:rPr>
          <w:sz w:val="22"/>
          <w:szCs w:val="22"/>
        </w:rPr>
      </w:pPr>
    </w:p>
    <w:p w:rsidR="00491A05" w:rsidRPr="00411B94" w:rsidRDefault="009623C5">
      <w:pPr>
        <w:pStyle w:val="ListParagraph"/>
        <w:widowControl/>
        <w:numPr>
          <w:ilvl w:val="0"/>
          <w:numId w:val="48"/>
        </w:numPr>
        <w:adjustRightInd/>
        <w:spacing w:line="240" w:lineRule="auto"/>
        <w:ind w:left="720"/>
        <w:textAlignment w:val="auto"/>
        <w:rPr>
          <w:sz w:val="22"/>
          <w:szCs w:val="22"/>
        </w:rPr>
      </w:pPr>
      <w:r w:rsidRPr="00411B94">
        <w:rPr>
          <w:sz w:val="22"/>
          <w:szCs w:val="22"/>
        </w:rPr>
        <w:t>Preservation Developments</w:t>
      </w:r>
      <w:r w:rsidR="004F77CB" w:rsidRPr="00411B94">
        <w:rPr>
          <w:sz w:val="22"/>
          <w:szCs w:val="22"/>
        </w:rPr>
        <w:t xml:space="preserve"> </w:t>
      </w:r>
      <w:r w:rsidRPr="00411B94">
        <w:rPr>
          <w:sz w:val="22"/>
          <w:szCs w:val="22"/>
        </w:rPr>
        <w:t>–</w:t>
      </w:r>
      <w:r w:rsidR="004F77CB" w:rsidRPr="00411B94">
        <w:rPr>
          <w:sz w:val="22"/>
          <w:szCs w:val="22"/>
        </w:rPr>
        <w:t xml:space="preserve"> </w:t>
      </w:r>
      <w:r w:rsidRPr="00411B94">
        <w:rPr>
          <w:sz w:val="22"/>
          <w:szCs w:val="22"/>
        </w:rPr>
        <w:t xml:space="preserve">The Agency will reserve Tax </w:t>
      </w:r>
      <w:r w:rsidR="003A5245" w:rsidRPr="00411B94">
        <w:rPr>
          <w:sz w:val="22"/>
          <w:szCs w:val="22"/>
        </w:rPr>
        <w:t>C</w:t>
      </w:r>
      <w:r w:rsidRPr="00411B94">
        <w:rPr>
          <w:sz w:val="22"/>
          <w:szCs w:val="22"/>
        </w:rPr>
        <w:t>redits to, at a minimum, three (3) preservation properties</w:t>
      </w:r>
      <w:r w:rsidR="00A61C26" w:rsidRPr="00411B94">
        <w:rPr>
          <w:sz w:val="22"/>
          <w:szCs w:val="22"/>
        </w:rPr>
        <w:t xml:space="preserve"> in each </w:t>
      </w:r>
      <w:r w:rsidR="00897800" w:rsidRPr="00411B94">
        <w:rPr>
          <w:sz w:val="22"/>
          <w:szCs w:val="22"/>
        </w:rPr>
        <w:t>Pool</w:t>
      </w:r>
      <w:r w:rsidRPr="00411B94">
        <w:rPr>
          <w:sz w:val="22"/>
          <w:szCs w:val="22"/>
        </w:rPr>
        <w:t xml:space="preserve">.  </w:t>
      </w:r>
      <w:r w:rsidR="000D2C82" w:rsidRPr="00411B94">
        <w:rPr>
          <w:sz w:val="22"/>
          <w:szCs w:val="22"/>
        </w:rPr>
        <w:t xml:space="preserve">To be considered </w:t>
      </w:r>
      <w:r w:rsidRPr="00411B94">
        <w:rPr>
          <w:sz w:val="22"/>
          <w:szCs w:val="22"/>
        </w:rPr>
        <w:t>eligible for this preference</w:t>
      </w:r>
      <w:r w:rsidR="008677D2" w:rsidRPr="00411B94">
        <w:rPr>
          <w:sz w:val="22"/>
          <w:szCs w:val="22"/>
        </w:rPr>
        <w:t xml:space="preserve">, existing </w:t>
      </w:r>
      <w:r w:rsidR="00A50678" w:rsidRPr="00411B94">
        <w:rPr>
          <w:sz w:val="22"/>
          <w:szCs w:val="22"/>
        </w:rPr>
        <w:t xml:space="preserve">affordable </w:t>
      </w:r>
      <w:r w:rsidR="000D2C82" w:rsidRPr="00411B94">
        <w:rPr>
          <w:sz w:val="22"/>
          <w:szCs w:val="22"/>
        </w:rPr>
        <w:t xml:space="preserve">properties should demonstrate </w:t>
      </w:r>
      <w:r w:rsidR="000462F6" w:rsidRPr="00411B94">
        <w:rPr>
          <w:sz w:val="22"/>
          <w:szCs w:val="22"/>
        </w:rPr>
        <w:t>th</w:t>
      </w:r>
      <w:r w:rsidR="00F03401" w:rsidRPr="00411B94">
        <w:rPr>
          <w:sz w:val="22"/>
          <w:szCs w:val="22"/>
        </w:rPr>
        <w:t>at</w:t>
      </w:r>
      <w:r w:rsidR="000D2C82" w:rsidRPr="00411B94">
        <w:rPr>
          <w:sz w:val="22"/>
          <w:szCs w:val="22"/>
        </w:rPr>
        <w:t xml:space="preserve"> </w:t>
      </w:r>
      <w:r w:rsidR="000462F6" w:rsidRPr="00411B94">
        <w:rPr>
          <w:sz w:val="22"/>
          <w:szCs w:val="22"/>
        </w:rPr>
        <w:t>Tax Credits</w:t>
      </w:r>
      <w:r w:rsidR="000D2C82" w:rsidRPr="00411B94">
        <w:rPr>
          <w:sz w:val="22"/>
          <w:szCs w:val="22"/>
        </w:rPr>
        <w:t xml:space="preserve"> are necessary to extend the long term affordability</w:t>
      </w:r>
      <w:r w:rsidR="000462F6" w:rsidRPr="00411B94">
        <w:rPr>
          <w:sz w:val="22"/>
          <w:szCs w:val="22"/>
        </w:rPr>
        <w:t xml:space="preserve"> and habitability</w:t>
      </w:r>
      <w:r w:rsidR="000D2C82" w:rsidRPr="00411B94">
        <w:rPr>
          <w:sz w:val="22"/>
          <w:szCs w:val="22"/>
        </w:rPr>
        <w:t xml:space="preserve"> of the development or that there is a likelihood </w:t>
      </w:r>
      <w:r w:rsidR="00F03401" w:rsidRPr="00411B94">
        <w:rPr>
          <w:sz w:val="22"/>
          <w:szCs w:val="22"/>
        </w:rPr>
        <w:t xml:space="preserve">of </w:t>
      </w:r>
      <w:r w:rsidR="000D2C82" w:rsidRPr="00411B94">
        <w:rPr>
          <w:sz w:val="22"/>
          <w:szCs w:val="22"/>
        </w:rPr>
        <w:t>conversion to market rate housing</w:t>
      </w:r>
      <w:r w:rsidR="00A50678" w:rsidRPr="00411B94">
        <w:rPr>
          <w:sz w:val="22"/>
          <w:szCs w:val="22"/>
        </w:rPr>
        <w:t xml:space="preserve"> (which</w:t>
      </w:r>
      <w:r w:rsidR="000D2C82" w:rsidRPr="00411B94">
        <w:rPr>
          <w:sz w:val="22"/>
          <w:szCs w:val="22"/>
        </w:rPr>
        <w:t xml:space="preserve"> must be supported by a current market study in a form and substance acceptable to the Agency</w:t>
      </w:r>
      <w:r w:rsidR="00A50678" w:rsidRPr="00411B94">
        <w:rPr>
          <w:sz w:val="22"/>
          <w:szCs w:val="22"/>
        </w:rPr>
        <w:t>)</w:t>
      </w:r>
      <w:r w:rsidR="000D2C82" w:rsidRPr="00411B94">
        <w:rPr>
          <w:sz w:val="22"/>
          <w:szCs w:val="22"/>
        </w:rPr>
        <w:t>.</w:t>
      </w:r>
      <w:r w:rsidR="00D646A0" w:rsidRPr="00411B94">
        <w:rPr>
          <w:sz w:val="22"/>
          <w:szCs w:val="22"/>
        </w:rPr>
        <w:t xml:space="preserve">  The Agency will conduct a comprehensive site visit on all preservation properties and will review the capital needs assessment, </w:t>
      </w:r>
      <w:r w:rsidR="005F7B8D" w:rsidRPr="00411B94">
        <w:rPr>
          <w:sz w:val="22"/>
          <w:szCs w:val="22"/>
        </w:rPr>
        <w:t xml:space="preserve">occupancy and </w:t>
      </w:r>
      <w:r w:rsidR="00D646A0" w:rsidRPr="00411B94">
        <w:rPr>
          <w:sz w:val="22"/>
          <w:szCs w:val="22"/>
        </w:rPr>
        <w:t xml:space="preserve">financial reports </w:t>
      </w:r>
      <w:r w:rsidR="00A40873" w:rsidRPr="00411B94">
        <w:rPr>
          <w:sz w:val="22"/>
          <w:szCs w:val="22"/>
        </w:rPr>
        <w:t>and supplemental information to identify those properties which</w:t>
      </w:r>
      <w:r w:rsidR="00E139AB" w:rsidRPr="00411B94">
        <w:rPr>
          <w:sz w:val="22"/>
          <w:szCs w:val="22"/>
        </w:rPr>
        <w:t xml:space="preserve"> demonstrate</w:t>
      </w:r>
      <w:r w:rsidR="00D646A0" w:rsidRPr="00411B94">
        <w:rPr>
          <w:sz w:val="22"/>
          <w:szCs w:val="22"/>
        </w:rPr>
        <w:t xml:space="preserve"> the greatest need </w:t>
      </w:r>
      <w:r w:rsidR="00A40873" w:rsidRPr="00411B94">
        <w:rPr>
          <w:sz w:val="22"/>
          <w:szCs w:val="22"/>
        </w:rPr>
        <w:t>of preservation.</w:t>
      </w:r>
    </w:p>
    <w:p w:rsidR="00491A05" w:rsidRPr="00411B94" w:rsidRDefault="00491A05">
      <w:pPr>
        <w:widowControl/>
        <w:adjustRightInd/>
        <w:spacing w:line="240" w:lineRule="auto"/>
        <w:ind w:left="720"/>
        <w:textAlignment w:val="auto"/>
        <w:rPr>
          <w:sz w:val="22"/>
          <w:szCs w:val="22"/>
        </w:rPr>
      </w:pPr>
    </w:p>
    <w:p w:rsidR="00491A05" w:rsidRPr="00411B94" w:rsidRDefault="009623C5">
      <w:pPr>
        <w:pStyle w:val="ListParagraph"/>
        <w:numPr>
          <w:ilvl w:val="0"/>
          <w:numId w:val="48"/>
        </w:numPr>
        <w:spacing w:after="120" w:line="240" w:lineRule="auto"/>
        <w:ind w:left="720"/>
        <w:rPr>
          <w:sz w:val="22"/>
          <w:szCs w:val="22"/>
        </w:rPr>
      </w:pPr>
      <w:r w:rsidRPr="00411B94">
        <w:rPr>
          <w:sz w:val="22"/>
          <w:szCs w:val="22"/>
        </w:rPr>
        <w:t>Supportive Housing</w:t>
      </w:r>
      <w:r w:rsidR="004F77CB" w:rsidRPr="00411B94">
        <w:rPr>
          <w:sz w:val="22"/>
          <w:szCs w:val="22"/>
        </w:rPr>
        <w:t xml:space="preserve"> </w:t>
      </w:r>
      <w:r w:rsidRPr="00411B94">
        <w:rPr>
          <w:sz w:val="22"/>
          <w:szCs w:val="22"/>
        </w:rPr>
        <w:t>– The Agency will reserve Tax Credits to, at a minimum, two (2) developments</w:t>
      </w:r>
      <w:r w:rsidR="00A61C26" w:rsidRPr="00411B94">
        <w:rPr>
          <w:sz w:val="22"/>
          <w:szCs w:val="22"/>
        </w:rPr>
        <w:t xml:space="preserve"> in each </w:t>
      </w:r>
      <w:r w:rsidR="00897800" w:rsidRPr="00411B94">
        <w:rPr>
          <w:sz w:val="22"/>
          <w:szCs w:val="22"/>
        </w:rPr>
        <w:t>Pool</w:t>
      </w:r>
      <w:r w:rsidR="00CC6E5C" w:rsidRPr="00411B94">
        <w:rPr>
          <w:sz w:val="22"/>
          <w:szCs w:val="22"/>
        </w:rPr>
        <w:t xml:space="preserve"> </w:t>
      </w:r>
      <w:r w:rsidRPr="00411B94">
        <w:rPr>
          <w:sz w:val="22"/>
          <w:szCs w:val="22"/>
        </w:rPr>
        <w:t xml:space="preserve">which promote supportive housing opportunities to targeted populations including persons </w:t>
      </w:r>
      <w:r w:rsidR="00150EDB" w:rsidRPr="00411B94">
        <w:rPr>
          <w:sz w:val="22"/>
          <w:szCs w:val="22"/>
        </w:rPr>
        <w:t>who</w:t>
      </w:r>
      <w:r w:rsidRPr="00411B94">
        <w:rPr>
          <w:sz w:val="22"/>
          <w:szCs w:val="22"/>
        </w:rPr>
        <w:t xml:space="preserve"> are homeless; non-homeless households that require supportive services including those with mental, physical, sensory, or developmental disabilities; persons with substance abuse disorders; persons diagnosed with HIV/AIDs and related diseases</w:t>
      </w:r>
      <w:r w:rsidR="00491A05" w:rsidRPr="00411B94">
        <w:rPr>
          <w:sz w:val="22"/>
          <w:szCs w:val="22"/>
        </w:rPr>
        <w:t>;</w:t>
      </w:r>
      <w:r w:rsidRPr="00411B94">
        <w:rPr>
          <w:sz w:val="22"/>
          <w:szCs w:val="22"/>
        </w:rPr>
        <w:t xml:space="preserve"> and other special populations approved by the Agency on a case-by-case basis</w:t>
      </w:r>
      <w:r w:rsidR="0072000E" w:rsidRPr="00411B94">
        <w:rPr>
          <w:sz w:val="22"/>
          <w:szCs w:val="22"/>
        </w:rPr>
        <w:t xml:space="preserve"> (which may include consideration for the specialized needs associated with affordable housing </w:t>
      </w:r>
      <w:r w:rsidR="00667812" w:rsidRPr="00411B94">
        <w:rPr>
          <w:sz w:val="22"/>
          <w:szCs w:val="22"/>
        </w:rPr>
        <w:t>for veteran</w:t>
      </w:r>
      <w:r w:rsidR="005D7047" w:rsidRPr="00411B94">
        <w:rPr>
          <w:sz w:val="22"/>
          <w:szCs w:val="22"/>
        </w:rPr>
        <w:t xml:space="preserve"> households</w:t>
      </w:r>
      <w:r w:rsidR="0072000E" w:rsidRPr="00411B94">
        <w:rPr>
          <w:sz w:val="22"/>
          <w:szCs w:val="22"/>
        </w:rPr>
        <w:t>).</w:t>
      </w:r>
      <w:r w:rsidR="00667812" w:rsidRPr="00411B94">
        <w:rPr>
          <w:sz w:val="22"/>
          <w:szCs w:val="22"/>
        </w:rPr>
        <w:t xml:space="preserve"> </w:t>
      </w:r>
      <w:r w:rsidR="0072000E" w:rsidRPr="00411B94">
        <w:rPr>
          <w:sz w:val="22"/>
          <w:szCs w:val="22"/>
        </w:rPr>
        <w:t xml:space="preserve"> </w:t>
      </w:r>
      <w:r w:rsidRPr="00411B94">
        <w:rPr>
          <w:sz w:val="22"/>
          <w:szCs w:val="22"/>
        </w:rPr>
        <w:t>Designated units must be rented only to the target population (subject to fair housing laws).</w:t>
      </w:r>
      <w:r w:rsidR="00150EDB" w:rsidRPr="00411B94">
        <w:rPr>
          <w:sz w:val="22"/>
          <w:szCs w:val="22"/>
        </w:rPr>
        <w:t xml:space="preserve"> </w:t>
      </w:r>
      <w:r w:rsidR="003A2865" w:rsidRPr="00411B94">
        <w:rPr>
          <w:sz w:val="22"/>
          <w:szCs w:val="22"/>
        </w:rPr>
        <w:t xml:space="preserve">The Agency </w:t>
      </w:r>
      <w:r w:rsidR="00F03401" w:rsidRPr="00411B94">
        <w:rPr>
          <w:sz w:val="22"/>
          <w:szCs w:val="22"/>
        </w:rPr>
        <w:t>may determine</w:t>
      </w:r>
      <w:r w:rsidR="003A2865" w:rsidRPr="00411B94">
        <w:rPr>
          <w:sz w:val="22"/>
          <w:szCs w:val="22"/>
        </w:rPr>
        <w:t xml:space="preserve"> to fund only one Supportive Housing development from this preference each </w:t>
      </w:r>
      <w:r w:rsidR="00D5310D" w:rsidRPr="00411B94">
        <w:rPr>
          <w:sz w:val="22"/>
          <w:szCs w:val="22"/>
        </w:rPr>
        <w:t>pool</w:t>
      </w:r>
      <w:r w:rsidR="003A2865" w:rsidRPr="00411B94">
        <w:rPr>
          <w:sz w:val="22"/>
          <w:szCs w:val="22"/>
        </w:rPr>
        <w:t xml:space="preserve"> if the </w:t>
      </w:r>
      <w:r w:rsidR="005D7047" w:rsidRPr="00411B94">
        <w:rPr>
          <w:sz w:val="22"/>
          <w:szCs w:val="22"/>
        </w:rPr>
        <w:t>A</w:t>
      </w:r>
      <w:r w:rsidR="00F03401" w:rsidRPr="00411B94">
        <w:rPr>
          <w:sz w:val="22"/>
          <w:szCs w:val="22"/>
        </w:rPr>
        <w:t>pplication has a very high score</w:t>
      </w:r>
      <w:r w:rsidR="003A2865" w:rsidRPr="00411B94">
        <w:rPr>
          <w:sz w:val="22"/>
          <w:szCs w:val="22"/>
        </w:rPr>
        <w:t xml:space="preserve"> and the amount of tax credits requested exceeds </w:t>
      </w:r>
      <w:r w:rsidR="00BC1104" w:rsidRPr="00411B94">
        <w:rPr>
          <w:sz w:val="22"/>
          <w:szCs w:val="22"/>
        </w:rPr>
        <w:t>$1,200,000</w:t>
      </w:r>
      <w:r w:rsidR="003A2865" w:rsidRPr="00411B94">
        <w:rPr>
          <w:sz w:val="22"/>
          <w:szCs w:val="22"/>
        </w:rPr>
        <w:t xml:space="preserve">.  </w:t>
      </w:r>
      <w:r w:rsidRPr="00411B94">
        <w:rPr>
          <w:sz w:val="22"/>
          <w:szCs w:val="22"/>
        </w:rPr>
        <w:t xml:space="preserve">Eligible </w:t>
      </w:r>
      <w:r w:rsidR="005D7047" w:rsidRPr="00411B94">
        <w:rPr>
          <w:sz w:val="22"/>
          <w:szCs w:val="22"/>
        </w:rPr>
        <w:t>Applicants</w:t>
      </w:r>
      <w:r w:rsidRPr="00411B94">
        <w:rPr>
          <w:sz w:val="22"/>
          <w:szCs w:val="22"/>
        </w:rPr>
        <w:t xml:space="preserve"> may</w:t>
      </w:r>
      <w:r w:rsidR="00667812" w:rsidRPr="00411B94">
        <w:rPr>
          <w:sz w:val="22"/>
          <w:szCs w:val="22"/>
        </w:rPr>
        <w:t xml:space="preserve"> </w:t>
      </w:r>
      <w:r w:rsidRPr="00411B94">
        <w:rPr>
          <w:sz w:val="22"/>
          <w:szCs w:val="22"/>
        </w:rPr>
        <w:t>include those which would be eligible to participate in the HUD Section 811 Demonstration Program.</w:t>
      </w:r>
      <w:r w:rsidRPr="00411B94">
        <w:rPr>
          <w:b/>
          <w:sz w:val="22"/>
          <w:szCs w:val="22"/>
        </w:rPr>
        <w:t xml:space="preserve"> </w:t>
      </w:r>
    </w:p>
    <w:p w:rsidR="001855D7" w:rsidRPr="00411B94" w:rsidRDefault="001855D7" w:rsidP="004F77CB">
      <w:pPr>
        <w:pStyle w:val="Header"/>
        <w:widowControl/>
        <w:numPr>
          <w:ilvl w:val="0"/>
          <w:numId w:val="48"/>
        </w:numPr>
        <w:tabs>
          <w:tab w:val="clear" w:pos="4320"/>
        </w:tabs>
        <w:adjustRightInd/>
        <w:spacing w:after="240" w:line="240" w:lineRule="auto"/>
        <w:ind w:left="720"/>
        <w:textAlignment w:val="auto"/>
        <w:rPr>
          <w:sz w:val="22"/>
          <w:szCs w:val="22"/>
        </w:rPr>
      </w:pPr>
      <w:r w:rsidRPr="00411B94">
        <w:rPr>
          <w:sz w:val="22"/>
          <w:szCs w:val="22"/>
        </w:rPr>
        <w:t>Innovation in Design</w:t>
      </w:r>
      <w:r w:rsidR="00D5310D" w:rsidRPr="00411B94">
        <w:rPr>
          <w:sz w:val="22"/>
          <w:szCs w:val="22"/>
        </w:rPr>
        <w:t xml:space="preserve"> </w:t>
      </w:r>
      <w:r w:rsidRPr="00411B94">
        <w:rPr>
          <w:b/>
          <w:sz w:val="22"/>
          <w:szCs w:val="22"/>
        </w:rPr>
        <w:t xml:space="preserve">- </w:t>
      </w:r>
      <w:r w:rsidRPr="00411B94">
        <w:rPr>
          <w:sz w:val="22"/>
          <w:szCs w:val="22"/>
        </w:rPr>
        <w:t>The Agency will hold a juried competition encouraging demonstrated innovation in housing</w:t>
      </w:r>
      <w:r w:rsidR="00864E44" w:rsidRPr="00411B94">
        <w:rPr>
          <w:sz w:val="22"/>
          <w:szCs w:val="22"/>
        </w:rPr>
        <w:t xml:space="preserve"> which</w:t>
      </w:r>
      <w:r w:rsidRPr="00411B94">
        <w:rPr>
          <w:sz w:val="22"/>
          <w:szCs w:val="22"/>
        </w:rPr>
        <w:t xml:space="preserve"> could be illustrated through excellence in design, implementation of current and future energy efficient technologies and materials and leveraging community and capital resources and will reserve Tax Credits to the winning development</w:t>
      </w:r>
      <w:r w:rsidR="00A02896" w:rsidRPr="00411B94">
        <w:rPr>
          <w:sz w:val="22"/>
          <w:szCs w:val="22"/>
        </w:rPr>
        <w:t>(s).</w:t>
      </w:r>
      <w:r w:rsidR="00A61C26" w:rsidRPr="00411B94">
        <w:rPr>
          <w:sz w:val="22"/>
          <w:szCs w:val="22"/>
        </w:rPr>
        <w:t xml:space="preserve"> </w:t>
      </w:r>
      <w:r w:rsidRPr="00411B94">
        <w:rPr>
          <w:sz w:val="22"/>
          <w:szCs w:val="22"/>
        </w:rPr>
        <w:t xml:space="preserve">See Checklist in </w:t>
      </w:r>
      <w:r w:rsidR="00AF1F86">
        <w:rPr>
          <w:sz w:val="22"/>
          <w:szCs w:val="22"/>
        </w:rPr>
        <w:t>2016</w:t>
      </w:r>
      <w:r w:rsidRPr="00411B94">
        <w:rPr>
          <w:sz w:val="22"/>
          <w:szCs w:val="22"/>
        </w:rPr>
        <w:t xml:space="preserve"> Guidelines for materials needed to participate in the competition.  The selected </w:t>
      </w:r>
      <w:r w:rsidR="005D7047" w:rsidRPr="00411B94">
        <w:rPr>
          <w:sz w:val="22"/>
          <w:szCs w:val="22"/>
        </w:rPr>
        <w:t>Applicant will</w:t>
      </w:r>
      <w:r w:rsidR="00692E6B" w:rsidRPr="00411B94">
        <w:rPr>
          <w:sz w:val="22"/>
          <w:szCs w:val="22"/>
        </w:rPr>
        <w:t xml:space="preserve"> work with the Agency to establish</w:t>
      </w:r>
      <w:r w:rsidR="005D7047" w:rsidRPr="00411B94">
        <w:rPr>
          <w:sz w:val="22"/>
          <w:szCs w:val="22"/>
        </w:rPr>
        <w:t>, document</w:t>
      </w:r>
      <w:r w:rsidR="00692E6B" w:rsidRPr="00411B94">
        <w:rPr>
          <w:sz w:val="22"/>
          <w:szCs w:val="22"/>
        </w:rPr>
        <w:t xml:space="preserve"> and employ the best practices for future</w:t>
      </w:r>
      <w:r w:rsidR="0091232C" w:rsidRPr="00411B94">
        <w:rPr>
          <w:sz w:val="22"/>
          <w:szCs w:val="22"/>
        </w:rPr>
        <w:t xml:space="preserve"> housing</w:t>
      </w:r>
      <w:r w:rsidR="00692E6B" w:rsidRPr="00411B94">
        <w:rPr>
          <w:sz w:val="22"/>
          <w:szCs w:val="22"/>
        </w:rPr>
        <w:t xml:space="preserve"> </w:t>
      </w:r>
      <w:r w:rsidR="00BA2355" w:rsidRPr="00411B94">
        <w:rPr>
          <w:sz w:val="22"/>
          <w:szCs w:val="22"/>
        </w:rPr>
        <w:t xml:space="preserve">policies and </w:t>
      </w:r>
      <w:r w:rsidR="0091232C" w:rsidRPr="00411B94">
        <w:rPr>
          <w:sz w:val="22"/>
          <w:szCs w:val="22"/>
        </w:rPr>
        <w:t>standards</w:t>
      </w:r>
      <w:r w:rsidR="00692E6B" w:rsidRPr="00411B94">
        <w:rPr>
          <w:sz w:val="22"/>
          <w:szCs w:val="22"/>
        </w:rPr>
        <w:t>.</w:t>
      </w:r>
    </w:p>
    <w:p w:rsidR="00491A05" w:rsidRPr="00411B94" w:rsidRDefault="00692E6B">
      <w:pPr>
        <w:pStyle w:val="ListParagraph"/>
        <w:numPr>
          <w:ilvl w:val="0"/>
          <w:numId w:val="48"/>
        </w:numPr>
        <w:spacing w:line="240" w:lineRule="auto"/>
        <w:ind w:left="720"/>
        <w:rPr>
          <w:sz w:val="22"/>
          <w:szCs w:val="22"/>
        </w:rPr>
      </w:pPr>
      <w:r w:rsidRPr="00411B94">
        <w:rPr>
          <w:sz w:val="22"/>
          <w:szCs w:val="22"/>
        </w:rPr>
        <w:t xml:space="preserve">Strategic Investment – The Agency will reserve Tax Credits to, at a minimum, three (3) </w:t>
      </w:r>
      <w:r w:rsidR="005D7047" w:rsidRPr="00411B94">
        <w:rPr>
          <w:sz w:val="22"/>
          <w:szCs w:val="22"/>
        </w:rPr>
        <w:t>Applicants</w:t>
      </w:r>
      <w:r w:rsidRPr="00411B94">
        <w:rPr>
          <w:sz w:val="22"/>
          <w:szCs w:val="22"/>
        </w:rPr>
        <w:t xml:space="preserve"> in each </w:t>
      </w:r>
      <w:r w:rsidR="00A40873" w:rsidRPr="00411B94">
        <w:rPr>
          <w:sz w:val="22"/>
          <w:szCs w:val="22"/>
        </w:rPr>
        <w:t>Pool</w:t>
      </w:r>
      <w:r w:rsidRPr="00411B94">
        <w:rPr>
          <w:sz w:val="22"/>
          <w:szCs w:val="22"/>
        </w:rPr>
        <w:t xml:space="preserve"> which the Agency determines support specific housing economic opportunities (such as areas of housing shortage due to Marcellus Shale</w:t>
      </w:r>
      <w:r w:rsidR="005D7047" w:rsidRPr="00411B94">
        <w:rPr>
          <w:sz w:val="22"/>
          <w:szCs w:val="22"/>
        </w:rPr>
        <w:t>, urgent community needs</w:t>
      </w:r>
      <w:r w:rsidRPr="00411B94">
        <w:rPr>
          <w:sz w:val="22"/>
          <w:szCs w:val="22"/>
        </w:rPr>
        <w:t xml:space="preserve"> or other unusual economic development pressures) or the overall housing goals of the Commonwealth, as determined by the Agency.  </w:t>
      </w:r>
    </w:p>
    <w:p w:rsidR="00491A05" w:rsidRPr="00411B94" w:rsidRDefault="00491A05">
      <w:pPr>
        <w:spacing w:line="240" w:lineRule="auto"/>
        <w:ind w:left="720"/>
        <w:rPr>
          <w:sz w:val="22"/>
          <w:szCs w:val="22"/>
        </w:rPr>
      </w:pPr>
    </w:p>
    <w:p w:rsidR="00491A05" w:rsidRPr="00411B94" w:rsidRDefault="009623C5">
      <w:pPr>
        <w:spacing w:line="240" w:lineRule="auto"/>
        <w:ind w:left="720"/>
        <w:rPr>
          <w:sz w:val="22"/>
          <w:szCs w:val="22"/>
        </w:rPr>
      </w:pPr>
      <w:r w:rsidRPr="00411B94">
        <w:rPr>
          <w:sz w:val="22"/>
          <w:szCs w:val="22"/>
        </w:rPr>
        <w:t xml:space="preserve">The Agency, in its discretion, may consider any Application for Strategic Investment.  The Agency may consider regional distribution, scale of community impact, extraordinary market and population needs, unique funding and leveraging </w:t>
      </w:r>
      <w:r w:rsidR="00DA460F" w:rsidRPr="00411B94">
        <w:rPr>
          <w:sz w:val="22"/>
          <w:szCs w:val="22"/>
        </w:rPr>
        <w:t>opportunities,</w:t>
      </w:r>
      <w:r w:rsidR="006506A6" w:rsidRPr="00411B94">
        <w:rPr>
          <w:sz w:val="22"/>
          <w:szCs w:val="22"/>
        </w:rPr>
        <w:t xml:space="preserve"> (such as HUD's Choice Neighborhoods Initiative),</w:t>
      </w:r>
      <w:r w:rsidR="00DA460F" w:rsidRPr="00411B94">
        <w:rPr>
          <w:sz w:val="22"/>
          <w:szCs w:val="22"/>
        </w:rPr>
        <w:t xml:space="preserve"> disaster recovery response and competitive rankings of Applications, in making Strategic Investment awards including how the development maximizes the inclusion of affordable accessible units in its design.</w:t>
      </w:r>
    </w:p>
    <w:p w:rsidR="00491A05" w:rsidRPr="00411B94" w:rsidRDefault="00491A05">
      <w:pPr>
        <w:spacing w:line="240" w:lineRule="auto"/>
        <w:ind w:left="720"/>
        <w:rPr>
          <w:sz w:val="22"/>
          <w:szCs w:val="22"/>
        </w:rPr>
      </w:pPr>
    </w:p>
    <w:p w:rsidR="00E1541D" w:rsidRPr="00411B94" w:rsidRDefault="009623C5" w:rsidP="00E1541D">
      <w:pPr>
        <w:pStyle w:val="ListParagraph"/>
        <w:widowControl/>
        <w:numPr>
          <w:ilvl w:val="0"/>
          <w:numId w:val="48"/>
        </w:numPr>
        <w:adjustRightInd/>
        <w:spacing w:line="240" w:lineRule="auto"/>
        <w:ind w:left="720"/>
        <w:textAlignment w:val="auto"/>
        <w:rPr>
          <w:sz w:val="22"/>
          <w:szCs w:val="22"/>
        </w:rPr>
      </w:pPr>
      <w:r w:rsidRPr="00411B94">
        <w:rPr>
          <w:sz w:val="22"/>
          <w:szCs w:val="22"/>
        </w:rPr>
        <w:t xml:space="preserve">Community Revitalization/Mixed Income </w:t>
      </w:r>
      <w:r w:rsidRPr="00411B94">
        <w:rPr>
          <w:b/>
          <w:sz w:val="22"/>
          <w:szCs w:val="22"/>
        </w:rPr>
        <w:t>(</w:t>
      </w:r>
      <w:r w:rsidR="00730970" w:rsidRPr="00411B94">
        <w:rPr>
          <w:b/>
          <w:sz w:val="22"/>
          <w:szCs w:val="22"/>
        </w:rPr>
        <w:t xml:space="preserve">Urban </w:t>
      </w:r>
      <w:r w:rsidR="00897800" w:rsidRPr="00411B94">
        <w:rPr>
          <w:b/>
          <w:sz w:val="22"/>
          <w:szCs w:val="22"/>
        </w:rPr>
        <w:t>Pool only</w:t>
      </w:r>
      <w:r w:rsidR="00730970" w:rsidRPr="00411B94">
        <w:rPr>
          <w:b/>
          <w:sz w:val="22"/>
          <w:szCs w:val="22"/>
        </w:rPr>
        <w:t>)</w:t>
      </w:r>
      <w:r w:rsidRPr="00411B94">
        <w:rPr>
          <w:b/>
          <w:sz w:val="22"/>
          <w:szCs w:val="22"/>
        </w:rPr>
        <w:t xml:space="preserve"> </w:t>
      </w:r>
      <w:r w:rsidRPr="00411B94">
        <w:rPr>
          <w:sz w:val="22"/>
          <w:szCs w:val="22"/>
        </w:rPr>
        <w:t>–The Agency will reserve Tax Credits to, at a minimum, three (3) developments</w:t>
      </w:r>
      <w:r w:rsidR="00A61C26" w:rsidRPr="00411B94">
        <w:rPr>
          <w:sz w:val="22"/>
          <w:szCs w:val="22"/>
        </w:rPr>
        <w:t xml:space="preserve"> </w:t>
      </w:r>
      <w:r w:rsidRPr="00411B94">
        <w:rPr>
          <w:sz w:val="22"/>
          <w:szCs w:val="22"/>
        </w:rPr>
        <w:t>which support a broader community revitalization program which has the capability of changing fundamentally the character of a neighborhood</w:t>
      </w:r>
      <w:r w:rsidR="00491A05" w:rsidRPr="00411B94">
        <w:rPr>
          <w:sz w:val="22"/>
          <w:szCs w:val="22"/>
        </w:rPr>
        <w:t>,</w:t>
      </w:r>
      <w:r w:rsidR="009E4B92" w:rsidRPr="00411B94">
        <w:rPr>
          <w:sz w:val="22"/>
          <w:szCs w:val="22"/>
        </w:rPr>
        <w:t xml:space="preserve"> enhancing</w:t>
      </w:r>
      <w:r w:rsidRPr="00411B94">
        <w:rPr>
          <w:sz w:val="22"/>
          <w:szCs w:val="22"/>
        </w:rPr>
        <w:t xml:space="preserve"> the lives and amenities available to residents of the community</w:t>
      </w:r>
      <w:r w:rsidR="00491A05" w:rsidRPr="00411B94">
        <w:rPr>
          <w:sz w:val="22"/>
          <w:szCs w:val="22"/>
        </w:rPr>
        <w:t>,</w:t>
      </w:r>
      <w:r w:rsidRPr="00411B94">
        <w:rPr>
          <w:sz w:val="22"/>
          <w:szCs w:val="22"/>
        </w:rPr>
        <w:t xml:space="preserve"> </w:t>
      </w:r>
      <w:r w:rsidR="009E4B92" w:rsidRPr="00411B94">
        <w:rPr>
          <w:sz w:val="22"/>
          <w:szCs w:val="22"/>
        </w:rPr>
        <w:t>are</w:t>
      </w:r>
      <w:r w:rsidRPr="00411B94">
        <w:rPr>
          <w:sz w:val="22"/>
          <w:szCs w:val="22"/>
        </w:rPr>
        <w:t xml:space="preserve"> focused on implementing a "mixed income" strategy</w:t>
      </w:r>
      <w:r w:rsidR="00747906" w:rsidRPr="00411B94">
        <w:rPr>
          <w:sz w:val="22"/>
          <w:szCs w:val="22"/>
        </w:rPr>
        <w:t>,</w:t>
      </w:r>
      <w:r w:rsidRPr="00411B94">
        <w:rPr>
          <w:sz w:val="22"/>
          <w:szCs w:val="22"/>
        </w:rPr>
        <w:t xml:space="preserve"> </w:t>
      </w:r>
      <w:r w:rsidRPr="00411B94">
        <w:rPr>
          <w:sz w:val="22"/>
          <w:szCs w:val="22"/>
        </w:rPr>
        <w:lastRenderedPageBreak/>
        <w:t>and/or which seeks to counteract the pattern through which some metropolitan areas are being</w:t>
      </w:r>
      <w:r w:rsidR="004D2227" w:rsidRPr="00411B94">
        <w:rPr>
          <w:sz w:val="22"/>
          <w:szCs w:val="22"/>
        </w:rPr>
        <w:t xml:space="preserve"> segregated by income or race.</w:t>
      </w:r>
    </w:p>
    <w:p w:rsidR="00F41412" w:rsidRPr="00411B94" w:rsidRDefault="00F41412" w:rsidP="00F41412">
      <w:pPr>
        <w:widowControl/>
        <w:adjustRightInd/>
        <w:spacing w:line="240" w:lineRule="auto"/>
        <w:jc w:val="left"/>
        <w:textAlignment w:val="auto"/>
        <w:rPr>
          <w:sz w:val="22"/>
          <w:szCs w:val="22"/>
        </w:rPr>
      </w:pPr>
    </w:p>
    <w:p w:rsidR="00E1541D" w:rsidRPr="00411B94" w:rsidRDefault="009623C5" w:rsidP="00983F36">
      <w:pPr>
        <w:widowControl/>
        <w:adjustRightInd/>
        <w:spacing w:line="240" w:lineRule="auto"/>
        <w:ind w:left="720"/>
        <w:textAlignment w:val="auto"/>
        <w:rPr>
          <w:sz w:val="22"/>
          <w:szCs w:val="22"/>
        </w:rPr>
      </w:pPr>
      <w:r w:rsidRPr="00411B94">
        <w:rPr>
          <w:sz w:val="22"/>
          <w:szCs w:val="22"/>
        </w:rPr>
        <w:t xml:space="preserve">The Agency will look at how, in measurable terms, the following aspects are associated with the comprehensive </w:t>
      </w:r>
      <w:r w:rsidR="00EC4F36" w:rsidRPr="00411B94">
        <w:rPr>
          <w:sz w:val="22"/>
          <w:szCs w:val="22"/>
        </w:rPr>
        <w:t>revitalization</w:t>
      </w:r>
      <w:r w:rsidR="00150EDB" w:rsidRPr="00411B94">
        <w:rPr>
          <w:sz w:val="22"/>
          <w:szCs w:val="22"/>
        </w:rPr>
        <w:t xml:space="preserve"> </w:t>
      </w:r>
      <w:r w:rsidRPr="00411B94">
        <w:rPr>
          <w:sz w:val="22"/>
          <w:szCs w:val="22"/>
        </w:rPr>
        <w:t xml:space="preserve">program of which the development is a part: </w:t>
      </w:r>
    </w:p>
    <w:p w:rsidR="00E1541D" w:rsidRPr="00411B94" w:rsidRDefault="00E1541D" w:rsidP="00E1541D">
      <w:pPr>
        <w:spacing w:line="240" w:lineRule="auto"/>
        <w:ind w:left="720" w:firstLine="720"/>
        <w:rPr>
          <w:sz w:val="22"/>
          <w:szCs w:val="22"/>
        </w:rPr>
      </w:pPr>
    </w:p>
    <w:p w:rsidR="00083059" w:rsidRDefault="009623C5" w:rsidP="00083059">
      <w:pPr>
        <w:widowControl/>
        <w:numPr>
          <w:ilvl w:val="0"/>
          <w:numId w:val="19"/>
        </w:numPr>
        <w:adjustRightInd/>
        <w:spacing w:line="240" w:lineRule="auto"/>
        <w:ind w:hanging="270"/>
        <w:textAlignment w:val="auto"/>
        <w:rPr>
          <w:sz w:val="22"/>
          <w:szCs w:val="22"/>
        </w:rPr>
      </w:pPr>
      <w:r w:rsidRPr="00411B94">
        <w:rPr>
          <w:sz w:val="22"/>
          <w:szCs w:val="22"/>
        </w:rPr>
        <w:t xml:space="preserve">Supports the construction and rehabilitation of housing to meet the needs of </w:t>
      </w:r>
      <w:r w:rsidR="00150EDB" w:rsidRPr="00411B94">
        <w:rPr>
          <w:sz w:val="22"/>
          <w:szCs w:val="22"/>
        </w:rPr>
        <w:t>households</w:t>
      </w:r>
      <w:r w:rsidRPr="00411B94">
        <w:rPr>
          <w:sz w:val="22"/>
          <w:szCs w:val="22"/>
        </w:rPr>
        <w:t xml:space="preserve"> of all income</w:t>
      </w:r>
      <w:r w:rsidR="00E04382">
        <w:rPr>
          <w:sz w:val="22"/>
          <w:szCs w:val="22"/>
        </w:rPr>
        <w:t xml:space="preserve"> </w:t>
      </w:r>
      <w:r w:rsidRPr="00411B94">
        <w:rPr>
          <w:sz w:val="22"/>
          <w:szCs w:val="22"/>
        </w:rPr>
        <w:t>types, including the very low income</w:t>
      </w:r>
    </w:p>
    <w:p w:rsidR="00083059" w:rsidRDefault="009623C5" w:rsidP="00083059">
      <w:pPr>
        <w:widowControl/>
        <w:numPr>
          <w:ilvl w:val="0"/>
          <w:numId w:val="19"/>
        </w:numPr>
        <w:adjustRightInd/>
        <w:spacing w:line="240" w:lineRule="auto"/>
        <w:ind w:hanging="270"/>
        <w:textAlignment w:val="auto"/>
        <w:rPr>
          <w:sz w:val="22"/>
          <w:szCs w:val="22"/>
        </w:rPr>
      </w:pPr>
      <w:r w:rsidRPr="00411B94">
        <w:rPr>
          <w:sz w:val="22"/>
          <w:szCs w:val="22"/>
        </w:rPr>
        <w:t>If the development proposes to offer rents at or close to the Tax Credit program maximum (</w:t>
      </w:r>
      <w:proofErr w:type="spellStart"/>
      <w:r w:rsidRPr="00411B94">
        <w:rPr>
          <w:sz w:val="22"/>
          <w:szCs w:val="22"/>
        </w:rPr>
        <w:t>i</w:t>
      </w:r>
      <w:proofErr w:type="spellEnd"/>
      <w:r w:rsidRPr="00411B94">
        <w:rPr>
          <w:sz w:val="22"/>
          <w:szCs w:val="22"/>
        </w:rPr>
        <w:t>) the availability of housing choice vouchers to make some of its units affordable to the area's lowest income households and/or (ii) the projected existence elsewhere in the neighborhood of development(s) that can be expected to provide such affordability</w:t>
      </w:r>
    </w:p>
    <w:p w:rsidR="00E1541D" w:rsidRPr="00411B94" w:rsidRDefault="009623C5" w:rsidP="00E1541D">
      <w:pPr>
        <w:widowControl/>
        <w:numPr>
          <w:ilvl w:val="0"/>
          <w:numId w:val="19"/>
        </w:numPr>
        <w:adjustRightInd/>
        <w:spacing w:line="240" w:lineRule="auto"/>
        <w:ind w:left="1170"/>
        <w:textAlignment w:val="auto"/>
        <w:rPr>
          <w:sz w:val="22"/>
          <w:szCs w:val="22"/>
        </w:rPr>
      </w:pPr>
      <w:r w:rsidRPr="00411B94">
        <w:rPr>
          <w:sz w:val="22"/>
          <w:szCs w:val="22"/>
        </w:rPr>
        <w:t xml:space="preserve">Access to public transportation </w:t>
      </w:r>
    </w:p>
    <w:p w:rsidR="00E1541D" w:rsidRPr="00411B94" w:rsidRDefault="009623C5" w:rsidP="00E1541D">
      <w:pPr>
        <w:widowControl/>
        <w:numPr>
          <w:ilvl w:val="0"/>
          <w:numId w:val="19"/>
        </w:numPr>
        <w:adjustRightInd/>
        <w:spacing w:line="240" w:lineRule="auto"/>
        <w:ind w:left="1170"/>
        <w:textAlignment w:val="auto"/>
        <w:rPr>
          <w:sz w:val="22"/>
          <w:szCs w:val="22"/>
        </w:rPr>
      </w:pPr>
      <w:r w:rsidRPr="00411B94">
        <w:rPr>
          <w:sz w:val="22"/>
          <w:szCs w:val="22"/>
        </w:rPr>
        <w:t xml:space="preserve">Access to public parks and open space </w:t>
      </w:r>
    </w:p>
    <w:p w:rsidR="00E1541D" w:rsidRPr="00411B94" w:rsidRDefault="009623C5" w:rsidP="00E1541D">
      <w:pPr>
        <w:widowControl/>
        <w:numPr>
          <w:ilvl w:val="0"/>
          <w:numId w:val="19"/>
        </w:numPr>
        <w:adjustRightInd/>
        <w:spacing w:line="240" w:lineRule="auto"/>
        <w:ind w:left="1170"/>
        <w:textAlignment w:val="auto"/>
        <w:rPr>
          <w:sz w:val="22"/>
          <w:szCs w:val="22"/>
        </w:rPr>
      </w:pPr>
      <w:r w:rsidRPr="00411B94">
        <w:rPr>
          <w:sz w:val="22"/>
          <w:szCs w:val="22"/>
        </w:rPr>
        <w:t>Access to community serving enterprises</w:t>
      </w:r>
    </w:p>
    <w:p w:rsidR="00E1541D" w:rsidRPr="00411B94" w:rsidRDefault="009623C5" w:rsidP="00E1541D">
      <w:pPr>
        <w:widowControl/>
        <w:numPr>
          <w:ilvl w:val="0"/>
          <w:numId w:val="19"/>
        </w:numPr>
        <w:adjustRightInd/>
        <w:spacing w:line="240" w:lineRule="auto"/>
        <w:ind w:left="1170"/>
        <w:textAlignment w:val="auto"/>
        <w:rPr>
          <w:sz w:val="22"/>
          <w:szCs w:val="22"/>
        </w:rPr>
      </w:pPr>
      <w:r w:rsidRPr="00411B94">
        <w:rPr>
          <w:sz w:val="22"/>
          <w:szCs w:val="22"/>
        </w:rPr>
        <w:t>Encourages the reuse and rehabilitation of existing infrastructures</w:t>
      </w:r>
    </w:p>
    <w:p w:rsidR="00E1541D" w:rsidRPr="00411B94" w:rsidRDefault="009623C5" w:rsidP="00E1541D">
      <w:pPr>
        <w:widowControl/>
        <w:numPr>
          <w:ilvl w:val="0"/>
          <w:numId w:val="19"/>
        </w:numPr>
        <w:adjustRightInd/>
        <w:spacing w:line="240" w:lineRule="auto"/>
        <w:ind w:left="1170"/>
        <w:textAlignment w:val="auto"/>
        <w:rPr>
          <w:sz w:val="22"/>
          <w:szCs w:val="22"/>
        </w:rPr>
      </w:pPr>
      <w:r w:rsidRPr="00411B94">
        <w:rPr>
          <w:sz w:val="22"/>
          <w:szCs w:val="22"/>
        </w:rPr>
        <w:t>Coordination of proposed site amenities that enhance the overall neighborhood</w:t>
      </w:r>
    </w:p>
    <w:p w:rsidR="00E1541D" w:rsidRPr="00411B94" w:rsidRDefault="009623C5" w:rsidP="00E1541D">
      <w:pPr>
        <w:widowControl/>
        <w:numPr>
          <w:ilvl w:val="0"/>
          <w:numId w:val="19"/>
        </w:numPr>
        <w:adjustRightInd/>
        <w:spacing w:line="240" w:lineRule="auto"/>
        <w:ind w:left="1170"/>
        <w:textAlignment w:val="auto"/>
        <w:rPr>
          <w:sz w:val="22"/>
          <w:szCs w:val="22"/>
        </w:rPr>
      </w:pPr>
      <w:r w:rsidRPr="00411B94">
        <w:rPr>
          <w:sz w:val="22"/>
          <w:szCs w:val="22"/>
        </w:rPr>
        <w:t>Coordination with an overall community revitalization effort</w:t>
      </w:r>
    </w:p>
    <w:p w:rsidR="00E1541D" w:rsidRPr="00411B94" w:rsidRDefault="009623C5" w:rsidP="00E1541D">
      <w:pPr>
        <w:widowControl/>
        <w:numPr>
          <w:ilvl w:val="0"/>
          <w:numId w:val="19"/>
        </w:numPr>
        <w:adjustRightInd/>
        <w:spacing w:line="240" w:lineRule="auto"/>
        <w:ind w:hanging="270"/>
        <w:textAlignment w:val="auto"/>
        <w:rPr>
          <w:sz w:val="22"/>
          <w:szCs w:val="22"/>
        </w:rPr>
      </w:pPr>
      <w:r w:rsidRPr="00411B94">
        <w:rPr>
          <w:sz w:val="22"/>
          <w:szCs w:val="22"/>
        </w:rPr>
        <w:t>Of sufficient size and scope to have a significant and lasting positive impact on the community (including increasing or stabilizing tax base)</w:t>
      </w:r>
    </w:p>
    <w:p w:rsidR="00E1541D" w:rsidRPr="00411B94" w:rsidRDefault="009623C5" w:rsidP="00E1541D">
      <w:pPr>
        <w:widowControl/>
        <w:numPr>
          <w:ilvl w:val="0"/>
          <w:numId w:val="19"/>
        </w:numPr>
        <w:adjustRightInd/>
        <w:spacing w:line="240" w:lineRule="auto"/>
        <w:ind w:hanging="270"/>
        <w:textAlignment w:val="auto"/>
        <w:rPr>
          <w:sz w:val="22"/>
          <w:szCs w:val="22"/>
        </w:rPr>
      </w:pPr>
      <w:r w:rsidRPr="00411B94">
        <w:rPr>
          <w:sz w:val="22"/>
          <w:szCs w:val="22"/>
        </w:rPr>
        <w:t>Expands quality of life and fulfills a need for health care choices and other crucial service opportunities for residents of the community</w:t>
      </w:r>
    </w:p>
    <w:p w:rsidR="00E1541D" w:rsidRPr="00411B94" w:rsidRDefault="009623C5" w:rsidP="00E1541D">
      <w:pPr>
        <w:widowControl/>
        <w:numPr>
          <w:ilvl w:val="0"/>
          <w:numId w:val="19"/>
        </w:numPr>
        <w:adjustRightInd/>
        <w:spacing w:line="240" w:lineRule="auto"/>
        <w:ind w:hanging="270"/>
        <w:textAlignment w:val="auto"/>
        <w:rPr>
          <w:sz w:val="22"/>
          <w:szCs w:val="22"/>
        </w:rPr>
      </w:pPr>
      <w:r w:rsidRPr="00411B94">
        <w:rPr>
          <w:sz w:val="22"/>
          <w:szCs w:val="22"/>
        </w:rPr>
        <w:t xml:space="preserve">Municipal support articulated in a publicly approved community plan or in the form of significant funding commitments </w:t>
      </w:r>
    </w:p>
    <w:p w:rsidR="00E1541D" w:rsidRPr="00411B94" w:rsidRDefault="009623C5" w:rsidP="00E1541D">
      <w:pPr>
        <w:widowControl/>
        <w:numPr>
          <w:ilvl w:val="0"/>
          <w:numId w:val="19"/>
        </w:numPr>
        <w:adjustRightInd/>
        <w:spacing w:line="240" w:lineRule="auto"/>
        <w:ind w:hanging="270"/>
        <w:textAlignment w:val="auto"/>
        <w:rPr>
          <w:sz w:val="22"/>
          <w:szCs w:val="22"/>
        </w:rPr>
      </w:pPr>
      <w:r w:rsidRPr="00411B94">
        <w:rPr>
          <w:sz w:val="22"/>
          <w:szCs w:val="22"/>
        </w:rPr>
        <w:t>Presence of supporting local neighborhood initiatives</w:t>
      </w:r>
    </w:p>
    <w:p w:rsidR="00150EDB" w:rsidRPr="00411B94" w:rsidRDefault="00150EDB" w:rsidP="00E1541D">
      <w:pPr>
        <w:widowControl/>
        <w:numPr>
          <w:ilvl w:val="0"/>
          <w:numId w:val="19"/>
        </w:numPr>
        <w:adjustRightInd/>
        <w:spacing w:line="240" w:lineRule="auto"/>
        <w:ind w:hanging="270"/>
        <w:textAlignment w:val="auto"/>
        <w:rPr>
          <w:sz w:val="22"/>
          <w:szCs w:val="22"/>
        </w:rPr>
      </w:pPr>
      <w:r w:rsidRPr="00411B94">
        <w:rPr>
          <w:sz w:val="22"/>
          <w:szCs w:val="22"/>
        </w:rPr>
        <w:t>Consistent with the local communit</w:t>
      </w:r>
      <w:r w:rsidR="00864E44" w:rsidRPr="00411B94">
        <w:rPr>
          <w:sz w:val="22"/>
          <w:szCs w:val="22"/>
        </w:rPr>
        <w:t>y’s</w:t>
      </w:r>
      <w:r w:rsidRPr="00411B94">
        <w:rPr>
          <w:sz w:val="22"/>
          <w:szCs w:val="22"/>
        </w:rPr>
        <w:t xml:space="preserve"> plan to affirmatively further fair housing. </w:t>
      </w:r>
    </w:p>
    <w:p w:rsidR="00E1541D" w:rsidRPr="00411B94" w:rsidRDefault="00E1541D" w:rsidP="00E1541D">
      <w:pPr>
        <w:spacing w:line="240" w:lineRule="auto"/>
        <w:ind w:left="720" w:hanging="360"/>
        <w:rPr>
          <w:b/>
          <w:sz w:val="22"/>
          <w:szCs w:val="22"/>
        </w:rPr>
      </w:pPr>
    </w:p>
    <w:p w:rsidR="00E1541D" w:rsidRPr="00411B94" w:rsidRDefault="009623C5" w:rsidP="00E1541D">
      <w:pPr>
        <w:pStyle w:val="ListParagraph"/>
        <w:numPr>
          <w:ilvl w:val="0"/>
          <w:numId w:val="48"/>
        </w:numPr>
        <w:spacing w:line="240" w:lineRule="auto"/>
        <w:ind w:left="720"/>
        <w:rPr>
          <w:b/>
          <w:sz w:val="22"/>
          <w:szCs w:val="22"/>
        </w:rPr>
      </w:pPr>
      <w:r w:rsidRPr="00411B94">
        <w:rPr>
          <w:sz w:val="22"/>
          <w:szCs w:val="22"/>
        </w:rPr>
        <w:t>Areas of Opportunity</w:t>
      </w:r>
      <w:r w:rsidRPr="00411B94">
        <w:rPr>
          <w:b/>
          <w:sz w:val="22"/>
          <w:szCs w:val="22"/>
        </w:rPr>
        <w:t xml:space="preserve"> (</w:t>
      </w:r>
      <w:r w:rsidR="00730970" w:rsidRPr="00411B94">
        <w:rPr>
          <w:b/>
          <w:sz w:val="22"/>
          <w:szCs w:val="22"/>
        </w:rPr>
        <w:t xml:space="preserve">Suburban/Rural </w:t>
      </w:r>
      <w:r w:rsidR="00897800" w:rsidRPr="00411B94">
        <w:rPr>
          <w:b/>
          <w:sz w:val="22"/>
          <w:szCs w:val="22"/>
        </w:rPr>
        <w:t>Pool only</w:t>
      </w:r>
      <w:r w:rsidRPr="00411B94">
        <w:rPr>
          <w:b/>
          <w:sz w:val="22"/>
          <w:szCs w:val="22"/>
        </w:rPr>
        <w:t xml:space="preserve">) - </w:t>
      </w:r>
      <w:r w:rsidRPr="00411B94">
        <w:rPr>
          <w:sz w:val="22"/>
          <w:szCs w:val="22"/>
        </w:rPr>
        <w:t>The Agency will reserve Tax Credits to, at a minimum, three (3) developments</w:t>
      </w:r>
      <w:r w:rsidR="00A61C26" w:rsidRPr="00411B94">
        <w:rPr>
          <w:sz w:val="22"/>
          <w:szCs w:val="22"/>
        </w:rPr>
        <w:t xml:space="preserve"> </w:t>
      </w:r>
      <w:r w:rsidRPr="00411B94">
        <w:rPr>
          <w:sz w:val="22"/>
          <w:szCs w:val="22"/>
        </w:rPr>
        <w:t xml:space="preserve">which expand housing opportunities and design choices in areas suitable for long-term economic growth </w:t>
      </w:r>
      <w:r w:rsidR="00B23423" w:rsidRPr="00411B94">
        <w:rPr>
          <w:sz w:val="22"/>
          <w:szCs w:val="22"/>
        </w:rPr>
        <w:t xml:space="preserve">with </w:t>
      </w:r>
      <w:r w:rsidRPr="00411B94">
        <w:rPr>
          <w:sz w:val="22"/>
          <w:szCs w:val="22"/>
        </w:rPr>
        <w:t xml:space="preserve">an existing or planned infrastructure to support future growth in the area, </w:t>
      </w:r>
      <w:r w:rsidR="00864E44" w:rsidRPr="00411B94">
        <w:rPr>
          <w:sz w:val="22"/>
          <w:szCs w:val="22"/>
        </w:rPr>
        <w:t xml:space="preserve">in order to </w:t>
      </w:r>
      <w:r w:rsidRPr="00411B94">
        <w:rPr>
          <w:sz w:val="22"/>
          <w:szCs w:val="22"/>
        </w:rPr>
        <w:t xml:space="preserve">promote mixed-use </w:t>
      </w:r>
      <w:r w:rsidR="00864E44" w:rsidRPr="00411B94">
        <w:rPr>
          <w:sz w:val="22"/>
          <w:szCs w:val="22"/>
        </w:rPr>
        <w:t xml:space="preserve">and/or mixed-income </w:t>
      </w:r>
      <w:r w:rsidRPr="00411B94">
        <w:rPr>
          <w:sz w:val="22"/>
          <w:szCs w:val="22"/>
        </w:rPr>
        <w:t>development within a community setting</w:t>
      </w:r>
      <w:r w:rsidR="00150EDB" w:rsidRPr="00411B94">
        <w:rPr>
          <w:sz w:val="22"/>
          <w:szCs w:val="22"/>
        </w:rPr>
        <w:t>.</w:t>
      </w:r>
      <w:r w:rsidRPr="00411B94">
        <w:rPr>
          <w:sz w:val="22"/>
          <w:szCs w:val="22"/>
        </w:rPr>
        <w:t xml:space="preserve"> </w:t>
      </w:r>
      <w:r w:rsidR="00150EDB" w:rsidRPr="00411B94">
        <w:rPr>
          <w:sz w:val="22"/>
          <w:szCs w:val="22"/>
        </w:rPr>
        <w:t xml:space="preserve">These developments will be </w:t>
      </w:r>
      <w:r w:rsidRPr="00411B94">
        <w:rPr>
          <w:sz w:val="22"/>
          <w:szCs w:val="22"/>
        </w:rPr>
        <w:t xml:space="preserve">located in areas of strong schools and employment opportunities and </w:t>
      </w:r>
      <w:r w:rsidR="00150EDB" w:rsidRPr="00411B94">
        <w:rPr>
          <w:sz w:val="22"/>
          <w:szCs w:val="22"/>
        </w:rPr>
        <w:t xml:space="preserve">in communities which </w:t>
      </w:r>
      <w:r w:rsidR="00896421" w:rsidRPr="00411B94">
        <w:rPr>
          <w:sz w:val="22"/>
          <w:szCs w:val="22"/>
        </w:rPr>
        <w:t xml:space="preserve">may </w:t>
      </w:r>
      <w:r w:rsidRPr="00411B94">
        <w:rPr>
          <w:sz w:val="22"/>
          <w:szCs w:val="22"/>
        </w:rPr>
        <w:t>have not received representative resources</w:t>
      </w:r>
      <w:r w:rsidR="00150EDB" w:rsidRPr="00411B94">
        <w:rPr>
          <w:sz w:val="22"/>
          <w:szCs w:val="22"/>
        </w:rPr>
        <w:t xml:space="preserve"> in the past</w:t>
      </w:r>
      <w:r w:rsidRPr="00411B94">
        <w:rPr>
          <w:sz w:val="22"/>
          <w:szCs w:val="22"/>
        </w:rPr>
        <w:t>.</w:t>
      </w:r>
    </w:p>
    <w:p w:rsidR="006262D9" w:rsidRPr="00411B94" w:rsidRDefault="006262D9" w:rsidP="006262D9">
      <w:pPr>
        <w:widowControl/>
        <w:adjustRightInd/>
        <w:spacing w:line="240" w:lineRule="auto"/>
        <w:jc w:val="left"/>
        <w:textAlignment w:val="auto"/>
        <w:rPr>
          <w:b/>
          <w:sz w:val="22"/>
          <w:szCs w:val="22"/>
          <w:u w:val="single"/>
        </w:rPr>
      </w:pPr>
    </w:p>
    <w:p w:rsidR="00491A05" w:rsidRPr="00411B94" w:rsidRDefault="009623C5" w:rsidP="00932819">
      <w:pPr>
        <w:widowControl/>
        <w:adjustRightInd/>
        <w:spacing w:line="240" w:lineRule="auto"/>
        <w:ind w:firstLine="360"/>
        <w:jc w:val="left"/>
        <w:textAlignment w:val="auto"/>
        <w:rPr>
          <w:b/>
          <w:sz w:val="22"/>
          <w:szCs w:val="22"/>
          <w:u w:val="single"/>
        </w:rPr>
      </w:pPr>
      <w:r w:rsidRPr="00411B94">
        <w:rPr>
          <w:b/>
          <w:sz w:val="22"/>
          <w:szCs w:val="22"/>
          <w:u w:val="single"/>
        </w:rPr>
        <w:t>Non</w:t>
      </w:r>
      <w:r w:rsidR="00747906" w:rsidRPr="00411B94">
        <w:rPr>
          <w:b/>
          <w:sz w:val="22"/>
          <w:szCs w:val="22"/>
          <w:u w:val="single"/>
        </w:rPr>
        <w:t>p</w:t>
      </w:r>
      <w:r w:rsidRPr="00411B94">
        <w:rPr>
          <w:b/>
          <w:sz w:val="22"/>
          <w:szCs w:val="22"/>
          <w:u w:val="single"/>
        </w:rPr>
        <w:t>rofit Set-Aside</w:t>
      </w:r>
    </w:p>
    <w:p w:rsidR="00491A05" w:rsidRPr="00411B94" w:rsidRDefault="00491A05">
      <w:pPr>
        <w:spacing w:line="240" w:lineRule="auto"/>
        <w:ind w:left="360" w:hanging="360"/>
        <w:rPr>
          <w:sz w:val="22"/>
          <w:szCs w:val="22"/>
        </w:rPr>
      </w:pPr>
    </w:p>
    <w:p w:rsidR="00491A05" w:rsidRPr="00411B94" w:rsidRDefault="008A54C8">
      <w:pPr>
        <w:spacing w:line="240" w:lineRule="auto"/>
        <w:ind w:left="360"/>
        <w:rPr>
          <w:sz w:val="22"/>
          <w:szCs w:val="22"/>
          <w:u w:color="FF0000"/>
        </w:rPr>
      </w:pPr>
      <w:r w:rsidRPr="00411B94">
        <w:rPr>
          <w:sz w:val="22"/>
          <w:szCs w:val="22"/>
        </w:rPr>
        <w:tab/>
      </w:r>
      <w:r w:rsidR="00184C50" w:rsidRPr="00411B94">
        <w:rPr>
          <w:sz w:val="22"/>
          <w:szCs w:val="22"/>
        </w:rPr>
        <w:t>T</w:t>
      </w:r>
      <w:r w:rsidRPr="00411B94">
        <w:rPr>
          <w:sz w:val="22"/>
          <w:szCs w:val="22"/>
        </w:rPr>
        <w:t xml:space="preserve">he Agency will continue </w:t>
      </w:r>
      <w:r w:rsidRPr="00411B94">
        <w:rPr>
          <w:sz w:val="22"/>
          <w:szCs w:val="22"/>
          <w:u w:color="FF0000"/>
        </w:rPr>
        <w:t xml:space="preserve">to encourage development by nonprofits which have demonstrated commitment to improving the living environment, public health, or safety of local populations in Tax Credit developments and </w:t>
      </w:r>
      <w:r w:rsidRPr="00411B94">
        <w:rPr>
          <w:sz w:val="22"/>
          <w:szCs w:val="22"/>
        </w:rPr>
        <w:t>will target</w:t>
      </w:r>
      <w:r w:rsidRPr="00411B94">
        <w:rPr>
          <w:sz w:val="22"/>
          <w:szCs w:val="22"/>
          <w:u w:color="FF0000"/>
        </w:rPr>
        <w:t xml:space="preserve"> a minimum of </w:t>
      </w:r>
      <w:r w:rsidRPr="00411B94">
        <w:rPr>
          <w:sz w:val="22"/>
          <w:szCs w:val="22"/>
          <w:u w:color="000000"/>
        </w:rPr>
        <w:t>twenty-five percent (25%)</w:t>
      </w:r>
      <w:r w:rsidRPr="00411B94">
        <w:rPr>
          <w:sz w:val="22"/>
          <w:szCs w:val="22"/>
          <w:u w:color="FF0000"/>
        </w:rPr>
        <w:t xml:space="preserve"> of the state per capita allocation amount toward</w:t>
      </w:r>
      <w:r w:rsidR="000D5A43" w:rsidRPr="00411B94">
        <w:rPr>
          <w:sz w:val="22"/>
          <w:szCs w:val="22"/>
          <w:u w:color="FF0000"/>
        </w:rPr>
        <w:t>s</w:t>
      </w:r>
      <w:r w:rsidRPr="00411B94">
        <w:rPr>
          <w:sz w:val="22"/>
          <w:szCs w:val="22"/>
          <w:u w:color="FF0000"/>
        </w:rPr>
        <w:t xml:space="preserve"> developments involving qualified nonprofit organizations</w:t>
      </w:r>
      <w:r w:rsidRPr="00411B94">
        <w:rPr>
          <w:sz w:val="22"/>
          <w:szCs w:val="22"/>
        </w:rPr>
        <w:t xml:space="preserve"> (the “Non</w:t>
      </w:r>
      <w:r w:rsidR="00747906" w:rsidRPr="00411B94">
        <w:rPr>
          <w:sz w:val="22"/>
          <w:szCs w:val="22"/>
        </w:rPr>
        <w:t>p</w:t>
      </w:r>
      <w:r w:rsidRPr="00411B94">
        <w:rPr>
          <w:sz w:val="22"/>
          <w:szCs w:val="22"/>
        </w:rPr>
        <w:t xml:space="preserve">rofit Set-Aside”).  </w:t>
      </w:r>
      <w:r w:rsidRPr="00411B94">
        <w:rPr>
          <w:sz w:val="22"/>
          <w:szCs w:val="22"/>
          <w:u w:color="FF0000"/>
        </w:rPr>
        <w:t>To be eligible, all nonprofits must meet the following requirements:</w:t>
      </w:r>
    </w:p>
    <w:p w:rsidR="008A54C8" w:rsidRPr="00411B94" w:rsidRDefault="008A54C8" w:rsidP="008A54C8">
      <w:pPr>
        <w:spacing w:line="240" w:lineRule="auto"/>
        <w:ind w:left="360"/>
        <w:rPr>
          <w:sz w:val="22"/>
          <w:szCs w:val="22"/>
        </w:rPr>
      </w:pPr>
    </w:p>
    <w:p w:rsidR="008A54C8" w:rsidRPr="00411B94" w:rsidRDefault="008A54C8" w:rsidP="008A54C8">
      <w:pPr>
        <w:spacing w:line="240" w:lineRule="auto"/>
        <w:ind w:left="360" w:firstLine="360"/>
        <w:rPr>
          <w:sz w:val="22"/>
          <w:szCs w:val="22"/>
        </w:rPr>
      </w:pPr>
      <w:r w:rsidRPr="00411B94">
        <w:rPr>
          <w:sz w:val="22"/>
          <w:szCs w:val="22"/>
        </w:rPr>
        <w:t xml:space="preserve">A nonprofit organization will qualify for consideration under the Nonprofit Set-Aside if it is described in paragraphs (3) or (4) of Section 501(c) of the Code, is exempt from tax under Section 501(a) and will materially participate in the Tax Credit development throughout the compliance period.  In addition, the nonprofit organization must have the fostering of low income housing as one of its exempt purposes.  The nonprofit organization must own (directly or through a partnership) at least a 51% interest in the general partner of the partnership entity in accordance with current laws and </w:t>
      </w:r>
      <w:smartTag w:uri="urn:schemas-microsoft-com:office:smarttags" w:element="stockticker">
        <w:r w:rsidRPr="00411B94">
          <w:rPr>
            <w:sz w:val="22"/>
            <w:szCs w:val="22"/>
          </w:rPr>
          <w:t>IRS</w:t>
        </w:r>
      </w:smartTag>
      <w:r w:rsidRPr="00411B94">
        <w:rPr>
          <w:sz w:val="22"/>
          <w:szCs w:val="22"/>
        </w:rPr>
        <w:t xml:space="preserve"> regulations throughout the development’s compliance period.  The nonprofit organization may neither be an affiliate of, nor controlled by, a for profit organization.  An opinion of counsel addressing the status of the nonprofit organization and qualification for the Nonprofit Set-Aside may be required.  </w:t>
      </w:r>
    </w:p>
    <w:p w:rsidR="008A54C8" w:rsidRDefault="008A54C8" w:rsidP="008A54C8">
      <w:pPr>
        <w:spacing w:line="240" w:lineRule="auto"/>
        <w:ind w:left="360"/>
        <w:rPr>
          <w:sz w:val="22"/>
          <w:szCs w:val="22"/>
          <w:u w:color="FF0000"/>
        </w:rPr>
      </w:pPr>
    </w:p>
    <w:p w:rsidR="00FF7EC2" w:rsidRPr="00411B94" w:rsidRDefault="00FF7EC2" w:rsidP="008A54C8">
      <w:pPr>
        <w:spacing w:line="240" w:lineRule="auto"/>
        <w:ind w:left="360"/>
        <w:rPr>
          <w:sz w:val="22"/>
          <w:szCs w:val="22"/>
          <w:u w:color="FF0000"/>
        </w:rPr>
      </w:pPr>
    </w:p>
    <w:p w:rsidR="008A54C8" w:rsidRPr="00411B94" w:rsidRDefault="008A54C8" w:rsidP="008A54C8">
      <w:pPr>
        <w:tabs>
          <w:tab w:val="left" w:pos="360"/>
        </w:tabs>
        <w:autoSpaceDE w:val="0"/>
        <w:autoSpaceDN w:val="0"/>
        <w:spacing w:line="240" w:lineRule="auto"/>
        <w:ind w:left="360"/>
        <w:rPr>
          <w:sz w:val="22"/>
          <w:szCs w:val="22"/>
          <w:u w:color="FF0000"/>
        </w:rPr>
      </w:pPr>
      <w:r w:rsidRPr="00411B94">
        <w:rPr>
          <w:sz w:val="22"/>
          <w:szCs w:val="22"/>
          <w:u w:color="FF0000"/>
        </w:rPr>
        <w:lastRenderedPageBreak/>
        <w:tab/>
        <w:t xml:space="preserve">Priority may be given to nonprofits which have a substantial base of operations within the county or municipality </w:t>
      </w:r>
      <w:r w:rsidR="00B23423" w:rsidRPr="00411B94">
        <w:rPr>
          <w:sz w:val="22"/>
          <w:szCs w:val="22"/>
          <w:u w:color="FF0000"/>
        </w:rPr>
        <w:t>of the proposed</w:t>
      </w:r>
      <w:r w:rsidRPr="00411B94">
        <w:rPr>
          <w:sz w:val="22"/>
          <w:szCs w:val="22"/>
          <w:u w:color="FF0000"/>
        </w:rPr>
        <w:t xml:space="preserve"> development.  To show a substantial base of operations, the nonprofit must demonstrate that it has provided quality charitable services to persons in the county or municipality without substantial interruption for at least the last two years, or performed other such activities which demonstrate, to the satisfaction of the Agency, that the organization will further the living environment, public health, or safety of persons in the proposed development</w:t>
      </w:r>
      <w:r w:rsidR="00896421" w:rsidRPr="00411B94">
        <w:rPr>
          <w:sz w:val="22"/>
          <w:szCs w:val="22"/>
          <w:u w:color="FF0000"/>
        </w:rPr>
        <w:t>.</w:t>
      </w:r>
      <w:r w:rsidRPr="00411B94">
        <w:rPr>
          <w:sz w:val="22"/>
          <w:szCs w:val="22"/>
          <w:u w:color="FF0000"/>
        </w:rPr>
        <w:t xml:space="preserve">  The Agency may require certification of IRS Form 990 filings and evidence of good standing with all nonprofit IRS filing requirements.</w:t>
      </w:r>
    </w:p>
    <w:p w:rsidR="001848D9" w:rsidRPr="00411B94" w:rsidRDefault="001848D9" w:rsidP="008A54C8">
      <w:pPr>
        <w:tabs>
          <w:tab w:val="left" w:pos="360"/>
        </w:tabs>
        <w:autoSpaceDE w:val="0"/>
        <w:autoSpaceDN w:val="0"/>
        <w:spacing w:line="240" w:lineRule="auto"/>
        <w:ind w:left="360"/>
        <w:rPr>
          <w:sz w:val="22"/>
          <w:szCs w:val="22"/>
          <w:u w:color="FF0000"/>
        </w:rPr>
      </w:pPr>
    </w:p>
    <w:p w:rsidR="008A54C8" w:rsidRPr="00411B94" w:rsidRDefault="008A54C8" w:rsidP="008A54C8">
      <w:pPr>
        <w:spacing w:line="240" w:lineRule="auto"/>
        <w:rPr>
          <w:b/>
          <w:sz w:val="22"/>
          <w:szCs w:val="22"/>
          <w:u w:val="single"/>
        </w:rPr>
      </w:pPr>
      <w:r w:rsidRPr="00411B94">
        <w:rPr>
          <w:b/>
          <w:sz w:val="22"/>
          <w:szCs w:val="22"/>
        </w:rPr>
        <w:tab/>
      </w:r>
      <w:r w:rsidRPr="00411B94">
        <w:rPr>
          <w:b/>
          <w:sz w:val="22"/>
          <w:szCs w:val="22"/>
          <w:u w:val="single"/>
        </w:rPr>
        <w:t>Requests for Add</w:t>
      </w:r>
      <w:r w:rsidR="004D2227" w:rsidRPr="00411B94">
        <w:rPr>
          <w:b/>
          <w:sz w:val="22"/>
          <w:szCs w:val="22"/>
          <w:u w:val="single"/>
        </w:rPr>
        <w:t>itional Tax Credits Set-Aside</w:t>
      </w:r>
    </w:p>
    <w:p w:rsidR="008A54C8" w:rsidRPr="006657BC" w:rsidRDefault="008A54C8" w:rsidP="008A54C8">
      <w:pPr>
        <w:spacing w:line="240" w:lineRule="auto"/>
        <w:ind w:left="720"/>
        <w:rPr>
          <w:sz w:val="16"/>
          <w:szCs w:val="16"/>
          <w:u w:val="single"/>
        </w:rPr>
      </w:pPr>
    </w:p>
    <w:p w:rsidR="00867AB8" w:rsidRPr="00411B94" w:rsidRDefault="00894CDE" w:rsidP="00867AB8">
      <w:pPr>
        <w:spacing w:line="240" w:lineRule="auto"/>
        <w:ind w:left="360" w:firstLine="360"/>
        <w:rPr>
          <w:sz w:val="22"/>
          <w:szCs w:val="22"/>
        </w:rPr>
      </w:pPr>
      <w:r w:rsidRPr="00411B94">
        <w:rPr>
          <w:sz w:val="22"/>
          <w:szCs w:val="22"/>
        </w:rPr>
        <w:t>A</w:t>
      </w:r>
      <w:r w:rsidR="008A54C8" w:rsidRPr="00411B94">
        <w:rPr>
          <w:sz w:val="22"/>
          <w:szCs w:val="22"/>
        </w:rPr>
        <w:t xml:space="preserve"> Set-Aside of Tax Credits </w:t>
      </w:r>
      <w:r w:rsidRPr="00411B94">
        <w:rPr>
          <w:sz w:val="22"/>
          <w:szCs w:val="22"/>
        </w:rPr>
        <w:t xml:space="preserve">equal to five percent (5%) of the state per capita allocation </w:t>
      </w:r>
      <w:r w:rsidR="008A54C8" w:rsidRPr="00411B94">
        <w:rPr>
          <w:sz w:val="22"/>
          <w:szCs w:val="22"/>
        </w:rPr>
        <w:t xml:space="preserve">will target developments that have received an initial reservation of Tax Credits in a prior year and are seeking additional Tax Credits in </w:t>
      </w:r>
      <w:r w:rsidR="00AF1F86">
        <w:rPr>
          <w:sz w:val="22"/>
          <w:szCs w:val="22"/>
        </w:rPr>
        <w:t>2016</w:t>
      </w:r>
      <w:r w:rsidR="008A54C8" w:rsidRPr="00411B94">
        <w:rPr>
          <w:sz w:val="22"/>
          <w:szCs w:val="22"/>
        </w:rPr>
        <w:t xml:space="preserve">.  </w:t>
      </w:r>
      <w:r w:rsidR="008A54C8" w:rsidRPr="00411B94">
        <w:rPr>
          <w:sz w:val="22"/>
          <w:szCs w:val="22"/>
          <w:u w:color="FF0000"/>
        </w:rPr>
        <w:t xml:space="preserve">Developments that must be placed in service in </w:t>
      </w:r>
      <w:r w:rsidR="00AF1F86">
        <w:rPr>
          <w:sz w:val="22"/>
          <w:szCs w:val="22"/>
          <w:u w:color="FF0000"/>
        </w:rPr>
        <w:t>2016</w:t>
      </w:r>
      <w:r w:rsidR="008A54C8" w:rsidRPr="00411B94">
        <w:rPr>
          <w:sz w:val="22"/>
          <w:szCs w:val="22"/>
          <w:u w:color="FF0000"/>
        </w:rPr>
        <w:t xml:space="preserve"> will receive preference for the </w:t>
      </w:r>
      <w:r w:rsidR="00802801" w:rsidRPr="00411B94">
        <w:rPr>
          <w:sz w:val="22"/>
          <w:szCs w:val="22"/>
          <w:u w:color="FF0000"/>
        </w:rPr>
        <w:t xml:space="preserve">Additional </w:t>
      </w:r>
      <w:r w:rsidR="008A54C8" w:rsidRPr="00411B94">
        <w:rPr>
          <w:sz w:val="22"/>
          <w:szCs w:val="22"/>
          <w:u w:color="FF0000"/>
        </w:rPr>
        <w:t>Tax Credits</w:t>
      </w:r>
      <w:r w:rsidR="00802801" w:rsidRPr="00411B94">
        <w:rPr>
          <w:sz w:val="22"/>
          <w:szCs w:val="22"/>
          <w:u w:color="FF0000"/>
        </w:rPr>
        <w:t xml:space="preserve"> Set-Aside</w:t>
      </w:r>
      <w:r w:rsidR="008A54C8" w:rsidRPr="00411B94">
        <w:rPr>
          <w:sz w:val="22"/>
          <w:szCs w:val="22"/>
          <w:u w:color="FF0000"/>
        </w:rPr>
        <w:t>.</w:t>
      </w:r>
      <w:r w:rsidR="008A54C8" w:rsidRPr="00411B94">
        <w:rPr>
          <w:sz w:val="22"/>
          <w:szCs w:val="22"/>
        </w:rPr>
        <w:t xml:space="preserve">  This Set-Aside is only available for developments which have closed on their equity investment or can demonstrate the capacity to secure an equity investment, satisfactory to the Agency, and qualified </w:t>
      </w:r>
      <w:r w:rsidR="00802801" w:rsidRPr="00411B94">
        <w:rPr>
          <w:sz w:val="22"/>
          <w:szCs w:val="22"/>
        </w:rPr>
        <w:t>A</w:t>
      </w:r>
      <w:r w:rsidR="008A54C8" w:rsidRPr="00411B94">
        <w:rPr>
          <w:sz w:val="22"/>
          <w:szCs w:val="22"/>
        </w:rPr>
        <w:t xml:space="preserve">pplicants must neither have changed any selection criteria nor made any </w:t>
      </w:r>
      <w:r w:rsidR="00C35E0B">
        <w:rPr>
          <w:sz w:val="22"/>
          <w:szCs w:val="22"/>
        </w:rPr>
        <w:t xml:space="preserve">significant </w:t>
      </w:r>
      <w:r w:rsidR="008A54C8" w:rsidRPr="00411B94">
        <w:rPr>
          <w:sz w:val="22"/>
          <w:szCs w:val="22"/>
        </w:rPr>
        <w:t>modifications</w:t>
      </w:r>
      <w:r w:rsidR="00C35E0B">
        <w:rPr>
          <w:sz w:val="22"/>
          <w:szCs w:val="22"/>
        </w:rPr>
        <w:t>, as determined by the Agency,</w:t>
      </w:r>
      <w:r w:rsidR="008A54C8" w:rsidRPr="00411B94">
        <w:rPr>
          <w:sz w:val="22"/>
          <w:szCs w:val="22"/>
        </w:rPr>
        <w:t xml:space="preserve"> from the initial Application.  </w:t>
      </w:r>
      <w:r w:rsidR="008A54C8" w:rsidRPr="00411B94">
        <w:rPr>
          <w:sz w:val="22"/>
          <w:szCs w:val="22"/>
          <w:u w:color="FF0000"/>
        </w:rPr>
        <w:t>Applications will not be accepted for additional Tax Credits due solely to an increase in Maximum Basis Limits</w:t>
      </w:r>
      <w:r w:rsidR="000949B8">
        <w:rPr>
          <w:sz w:val="22"/>
          <w:szCs w:val="22"/>
          <w:u w:color="FF0000"/>
        </w:rPr>
        <w:t>.</w:t>
      </w:r>
    </w:p>
    <w:p w:rsidR="00867AB8" w:rsidRPr="00411B94" w:rsidRDefault="00867AB8" w:rsidP="00867AB8">
      <w:pPr>
        <w:spacing w:line="240" w:lineRule="auto"/>
        <w:ind w:left="360" w:firstLine="360"/>
        <w:rPr>
          <w:sz w:val="22"/>
          <w:szCs w:val="22"/>
          <w:u w:val="single"/>
        </w:rPr>
      </w:pPr>
    </w:p>
    <w:p w:rsidR="004B67FA" w:rsidRPr="00E04382" w:rsidRDefault="00083059" w:rsidP="00867AB8">
      <w:pPr>
        <w:spacing w:line="240" w:lineRule="auto"/>
        <w:ind w:left="360" w:firstLine="360"/>
        <w:rPr>
          <w:color w:val="000000" w:themeColor="text1"/>
          <w:sz w:val="22"/>
          <w:szCs w:val="22"/>
        </w:rPr>
      </w:pPr>
      <w:r w:rsidRPr="00083059">
        <w:rPr>
          <w:color w:val="000000" w:themeColor="text1"/>
          <w:sz w:val="22"/>
          <w:szCs w:val="22"/>
        </w:rPr>
        <w:t xml:space="preserve">Such requests may not exceed the </w:t>
      </w:r>
      <w:proofErr w:type="gramStart"/>
      <w:r w:rsidRPr="00083059">
        <w:rPr>
          <w:color w:val="000000" w:themeColor="text1"/>
          <w:sz w:val="22"/>
          <w:szCs w:val="22"/>
        </w:rPr>
        <w:t>lesser</w:t>
      </w:r>
      <w:proofErr w:type="gramEnd"/>
      <w:r w:rsidRPr="00083059">
        <w:rPr>
          <w:color w:val="000000" w:themeColor="text1"/>
          <w:sz w:val="22"/>
          <w:szCs w:val="22"/>
        </w:rPr>
        <w:t xml:space="preserve"> of 5% of the initial Tax Credit reservation amount or $60,000 and shall be made on a first come, first served basis based on availability through September 30, 2016.  </w:t>
      </w:r>
    </w:p>
    <w:p w:rsidR="004B67FA" w:rsidRPr="00E04382" w:rsidRDefault="004B67FA" w:rsidP="004B67FA">
      <w:pPr>
        <w:spacing w:line="240" w:lineRule="auto"/>
        <w:rPr>
          <w:color w:val="000000" w:themeColor="text1"/>
          <w:sz w:val="22"/>
          <w:szCs w:val="22"/>
        </w:rPr>
      </w:pPr>
    </w:p>
    <w:p w:rsidR="00747906" w:rsidRPr="00411B94" w:rsidRDefault="00867AB8" w:rsidP="00843095">
      <w:pPr>
        <w:spacing w:line="240" w:lineRule="auto"/>
        <w:ind w:left="360" w:firstLine="360"/>
        <w:rPr>
          <w:sz w:val="22"/>
          <w:szCs w:val="22"/>
        </w:rPr>
      </w:pPr>
      <w:r w:rsidRPr="00411B94">
        <w:rPr>
          <w:sz w:val="22"/>
          <w:szCs w:val="22"/>
        </w:rPr>
        <w:t xml:space="preserve">Applicants may only request </w:t>
      </w:r>
      <w:r w:rsidR="00802801" w:rsidRPr="00411B94">
        <w:rPr>
          <w:sz w:val="22"/>
          <w:szCs w:val="22"/>
        </w:rPr>
        <w:t>A</w:t>
      </w:r>
      <w:r w:rsidRPr="00411B94">
        <w:rPr>
          <w:sz w:val="22"/>
          <w:szCs w:val="22"/>
        </w:rPr>
        <w:t>dditional Tax Credits two times subsequent to the initial reservation. Once the Additional Tax Credits Set-Aside is exhausted</w:t>
      </w:r>
      <w:r w:rsidR="00802801" w:rsidRPr="00411B94">
        <w:rPr>
          <w:sz w:val="22"/>
          <w:szCs w:val="22"/>
        </w:rPr>
        <w:t>,</w:t>
      </w:r>
      <w:r w:rsidRPr="00411B94">
        <w:rPr>
          <w:sz w:val="22"/>
          <w:szCs w:val="22"/>
        </w:rPr>
        <w:t xml:space="preserve"> the Agency</w:t>
      </w:r>
      <w:r w:rsidR="00DA7631" w:rsidRPr="00411B94">
        <w:rPr>
          <w:sz w:val="22"/>
          <w:szCs w:val="22"/>
        </w:rPr>
        <w:t xml:space="preserve"> </w:t>
      </w:r>
      <w:r w:rsidRPr="00411B94">
        <w:rPr>
          <w:sz w:val="22"/>
          <w:szCs w:val="22"/>
        </w:rPr>
        <w:t>may</w:t>
      </w:r>
      <w:r w:rsidR="00802801" w:rsidRPr="00411B94">
        <w:rPr>
          <w:sz w:val="22"/>
          <w:szCs w:val="22"/>
        </w:rPr>
        <w:t>, in its discretion,</w:t>
      </w:r>
      <w:r w:rsidRPr="00411B94">
        <w:rPr>
          <w:sz w:val="22"/>
          <w:szCs w:val="22"/>
        </w:rPr>
        <w:t xml:space="preserve"> reallocate Tax Credits </w:t>
      </w:r>
      <w:r w:rsidR="00896421" w:rsidRPr="00411B94">
        <w:rPr>
          <w:sz w:val="22"/>
          <w:szCs w:val="22"/>
        </w:rPr>
        <w:t xml:space="preserve">from other set asides </w:t>
      </w:r>
      <w:r w:rsidRPr="00411B94">
        <w:rPr>
          <w:sz w:val="22"/>
          <w:szCs w:val="22"/>
        </w:rPr>
        <w:t xml:space="preserve">in an amount as determined by the Agency to developments which must be placed in service in </w:t>
      </w:r>
      <w:r w:rsidR="00AF1F86">
        <w:rPr>
          <w:sz w:val="22"/>
          <w:szCs w:val="22"/>
        </w:rPr>
        <w:t>2016</w:t>
      </w:r>
      <w:r w:rsidRPr="00411B94">
        <w:rPr>
          <w:sz w:val="22"/>
          <w:szCs w:val="22"/>
        </w:rPr>
        <w:t xml:space="preserve">.  All </w:t>
      </w:r>
      <w:r w:rsidR="00802801" w:rsidRPr="00411B94">
        <w:rPr>
          <w:sz w:val="22"/>
          <w:szCs w:val="22"/>
        </w:rPr>
        <w:t>A</w:t>
      </w:r>
      <w:r w:rsidRPr="00411B94">
        <w:rPr>
          <w:sz w:val="22"/>
          <w:szCs w:val="22"/>
        </w:rPr>
        <w:t xml:space="preserve">pplicants for </w:t>
      </w:r>
      <w:r w:rsidR="00802801" w:rsidRPr="00411B94">
        <w:rPr>
          <w:sz w:val="22"/>
          <w:szCs w:val="22"/>
        </w:rPr>
        <w:t>A</w:t>
      </w:r>
      <w:r w:rsidRPr="00411B94">
        <w:rPr>
          <w:sz w:val="22"/>
          <w:szCs w:val="22"/>
        </w:rPr>
        <w:t xml:space="preserve">dditional Tax Credits should refer to the Checklist of Exhibits in the </w:t>
      </w:r>
      <w:r w:rsidR="00AF1F86">
        <w:rPr>
          <w:sz w:val="22"/>
          <w:szCs w:val="22"/>
        </w:rPr>
        <w:t>2016</w:t>
      </w:r>
      <w:r w:rsidRPr="00411B94">
        <w:rPr>
          <w:sz w:val="22"/>
          <w:szCs w:val="22"/>
        </w:rPr>
        <w:t xml:space="preserve"> Guidelines for resubmission requirements and processing instructions.  Applications for Additional Tax Credits will be considered by the Agency upon submission of the Additional Tax Credit Application. </w:t>
      </w:r>
    </w:p>
    <w:p w:rsidR="00001EE4" w:rsidRPr="006657BC" w:rsidRDefault="00001EE4" w:rsidP="00001EE4">
      <w:pPr>
        <w:widowControl/>
        <w:adjustRightInd/>
        <w:spacing w:line="240" w:lineRule="auto"/>
        <w:jc w:val="left"/>
        <w:textAlignment w:val="auto"/>
        <w:rPr>
          <w:sz w:val="16"/>
          <w:szCs w:val="16"/>
          <w:u w:val="single"/>
        </w:rPr>
      </w:pPr>
    </w:p>
    <w:p w:rsidR="00282393" w:rsidRPr="00411B94" w:rsidRDefault="00001EE4" w:rsidP="00001EE4">
      <w:pPr>
        <w:widowControl/>
        <w:adjustRightInd/>
        <w:spacing w:line="240" w:lineRule="auto"/>
        <w:ind w:firstLine="360"/>
        <w:jc w:val="center"/>
        <w:textAlignment w:val="auto"/>
        <w:rPr>
          <w:b/>
          <w:sz w:val="22"/>
          <w:szCs w:val="22"/>
          <w:u w:val="single"/>
        </w:rPr>
      </w:pPr>
      <w:r w:rsidRPr="00411B94">
        <w:rPr>
          <w:b/>
          <w:sz w:val="22"/>
          <w:szCs w:val="22"/>
          <w:u w:val="single"/>
        </w:rPr>
        <w:t>SELECTION OF APPLICATIONS</w:t>
      </w:r>
    </w:p>
    <w:p w:rsidR="00843095" w:rsidRPr="00411B94" w:rsidRDefault="00843095" w:rsidP="00001EE4">
      <w:pPr>
        <w:spacing w:line="240" w:lineRule="auto"/>
        <w:ind w:left="360" w:firstLine="360"/>
        <w:jc w:val="center"/>
        <w:rPr>
          <w:sz w:val="22"/>
          <w:szCs w:val="22"/>
        </w:rPr>
      </w:pPr>
    </w:p>
    <w:p w:rsidR="00843095" w:rsidRPr="00411B94" w:rsidRDefault="009623C5" w:rsidP="00843095">
      <w:pPr>
        <w:spacing w:line="240" w:lineRule="auto"/>
        <w:ind w:left="360" w:firstLine="360"/>
        <w:rPr>
          <w:sz w:val="22"/>
          <w:szCs w:val="22"/>
        </w:rPr>
      </w:pPr>
      <w:r w:rsidRPr="00411B94">
        <w:rPr>
          <w:sz w:val="22"/>
          <w:szCs w:val="22"/>
        </w:rPr>
        <w:t xml:space="preserve">The Agency will strive to reserve </w:t>
      </w:r>
      <w:r w:rsidR="00896421" w:rsidRPr="00411B94">
        <w:rPr>
          <w:sz w:val="22"/>
          <w:szCs w:val="22"/>
        </w:rPr>
        <w:t>Tax C</w:t>
      </w:r>
      <w:r w:rsidRPr="00411B94">
        <w:rPr>
          <w:sz w:val="22"/>
          <w:szCs w:val="22"/>
        </w:rPr>
        <w:t>redits in a manner which results in a geographic distribution statewide. Applications for Tax Credits will be evaluated and ranked based on the Selection Criteria.  It is the Agency’s intent to follow the preferences established for targeting resources and will award Tax Credits to the highest scoring Applications meeting the stated preferences. Provided Tax Credits are available after the Agency determines that the preferences have been met, the Agency will award Tax Credits to the next highest ranking Application</w:t>
      </w:r>
      <w:r w:rsidR="00B86286" w:rsidRPr="00411B94">
        <w:rPr>
          <w:sz w:val="22"/>
          <w:szCs w:val="22"/>
        </w:rPr>
        <w:t>.</w:t>
      </w:r>
      <w:r w:rsidRPr="00411B94">
        <w:rPr>
          <w:sz w:val="22"/>
          <w:szCs w:val="22"/>
        </w:rPr>
        <w:t xml:space="preserve">  </w:t>
      </w:r>
      <w:r w:rsidR="007A06A1" w:rsidRPr="00411B94">
        <w:rPr>
          <w:sz w:val="22"/>
          <w:szCs w:val="22"/>
        </w:rPr>
        <w:t>In the event the Agency determines that an Application has been delayed or faces substantial cost burdens due to some</w:t>
      </w:r>
      <w:r w:rsidR="00802801" w:rsidRPr="00411B94">
        <w:rPr>
          <w:sz w:val="22"/>
          <w:szCs w:val="22"/>
        </w:rPr>
        <w:t xml:space="preserve"> good cause</w:t>
      </w:r>
      <w:r w:rsidR="007A06A1" w:rsidRPr="00411B94">
        <w:rPr>
          <w:sz w:val="22"/>
          <w:szCs w:val="22"/>
        </w:rPr>
        <w:t xml:space="preserve"> beyond the con</w:t>
      </w:r>
      <w:r w:rsidR="00983F36" w:rsidRPr="00411B94">
        <w:rPr>
          <w:sz w:val="22"/>
          <w:szCs w:val="22"/>
        </w:rPr>
        <w:t xml:space="preserve">trol and dominion of the </w:t>
      </w:r>
      <w:r w:rsidR="00802801" w:rsidRPr="00411B94">
        <w:rPr>
          <w:sz w:val="22"/>
          <w:szCs w:val="22"/>
        </w:rPr>
        <w:t>A</w:t>
      </w:r>
      <w:r w:rsidR="00983F36" w:rsidRPr="00411B94">
        <w:rPr>
          <w:sz w:val="22"/>
          <w:szCs w:val="22"/>
        </w:rPr>
        <w:t>pplicant</w:t>
      </w:r>
      <w:r w:rsidR="007A06A1" w:rsidRPr="00411B94">
        <w:rPr>
          <w:sz w:val="22"/>
          <w:szCs w:val="22"/>
        </w:rPr>
        <w:t>, especially in the event there is a NIMBY or legal challen</w:t>
      </w:r>
      <w:r w:rsidR="00A06140" w:rsidRPr="00411B94">
        <w:rPr>
          <w:sz w:val="22"/>
          <w:szCs w:val="22"/>
        </w:rPr>
        <w:t xml:space="preserve">ge to siting of an otherwise viable project, the Agency may provide a preference to fund the </w:t>
      </w:r>
      <w:r w:rsidR="00802801" w:rsidRPr="00411B94">
        <w:rPr>
          <w:sz w:val="22"/>
          <w:szCs w:val="22"/>
        </w:rPr>
        <w:t>A</w:t>
      </w:r>
      <w:r w:rsidR="00A06140" w:rsidRPr="00411B94">
        <w:rPr>
          <w:sz w:val="22"/>
          <w:szCs w:val="22"/>
        </w:rPr>
        <w:t>pplicant for an alternative viable project w</w:t>
      </w:r>
      <w:r w:rsidR="00E41FCC" w:rsidRPr="00411B94">
        <w:rPr>
          <w:sz w:val="22"/>
          <w:szCs w:val="22"/>
        </w:rPr>
        <w:t>h</w:t>
      </w:r>
      <w:r w:rsidR="00A06140" w:rsidRPr="00411B94">
        <w:rPr>
          <w:sz w:val="22"/>
          <w:szCs w:val="22"/>
        </w:rPr>
        <w:t xml:space="preserve">ich meets similar goals and housing targets in an alternative location (which meets at least a minimum score under the Allocation Plan).  </w:t>
      </w:r>
      <w:r w:rsidRPr="00411B94">
        <w:rPr>
          <w:sz w:val="22"/>
          <w:szCs w:val="22"/>
        </w:rPr>
        <w:t>The Agency recognizes that lower ranking Applications may be awarded Tax Credits in order to meet the stated preferences, however, the Agency has determined that in order to receive an award of Tax Credits, a</w:t>
      </w:r>
      <w:r w:rsidR="00802801" w:rsidRPr="00411B94">
        <w:rPr>
          <w:sz w:val="22"/>
          <w:szCs w:val="22"/>
        </w:rPr>
        <w:t>n Application</w:t>
      </w:r>
      <w:r w:rsidRPr="00411B94">
        <w:rPr>
          <w:sz w:val="22"/>
          <w:szCs w:val="22"/>
        </w:rPr>
        <w:t xml:space="preserve"> must meet a minimum point threshold of </w:t>
      </w:r>
      <w:r w:rsidR="00E41FCC" w:rsidRPr="00411B94">
        <w:rPr>
          <w:sz w:val="22"/>
          <w:szCs w:val="22"/>
        </w:rPr>
        <w:t xml:space="preserve">85 </w:t>
      </w:r>
      <w:r w:rsidR="00F4219B" w:rsidRPr="00411B94">
        <w:rPr>
          <w:sz w:val="22"/>
          <w:szCs w:val="22"/>
        </w:rPr>
        <w:t>points.</w:t>
      </w:r>
    </w:p>
    <w:p w:rsidR="00EC7619" w:rsidRDefault="00EC7619" w:rsidP="00CB1C6E">
      <w:pPr>
        <w:widowControl/>
        <w:adjustRightInd/>
        <w:spacing w:line="240" w:lineRule="auto"/>
        <w:jc w:val="center"/>
        <w:textAlignment w:val="auto"/>
        <w:rPr>
          <w:b/>
          <w:sz w:val="22"/>
          <w:szCs w:val="22"/>
          <w:u w:val="single" w:color="000000"/>
        </w:rPr>
      </w:pPr>
    </w:p>
    <w:p w:rsidR="00DA7631" w:rsidRPr="00411B94" w:rsidRDefault="00816176" w:rsidP="00CB1C6E">
      <w:pPr>
        <w:widowControl/>
        <w:adjustRightInd/>
        <w:spacing w:line="240" w:lineRule="auto"/>
        <w:jc w:val="center"/>
        <w:textAlignment w:val="auto"/>
        <w:rPr>
          <w:b/>
          <w:sz w:val="22"/>
          <w:szCs w:val="22"/>
          <w:u w:val="single" w:color="000000"/>
        </w:rPr>
      </w:pPr>
      <w:r w:rsidRPr="00411B94">
        <w:rPr>
          <w:b/>
          <w:sz w:val="22"/>
          <w:szCs w:val="22"/>
          <w:u w:val="single" w:color="000000"/>
        </w:rPr>
        <w:t>ADDITIONAL RESOURCES</w:t>
      </w:r>
      <w:r w:rsidR="00D41A59" w:rsidRPr="00411B94">
        <w:rPr>
          <w:b/>
          <w:sz w:val="22"/>
          <w:szCs w:val="22"/>
          <w:u w:val="single" w:color="000000"/>
        </w:rPr>
        <w:t>, SUBSEQUENT EVENTS</w:t>
      </w:r>
    </w:p>
    <w:p w:rsidR="00777E8A" w:rsidRPr="00411B94" w:rsidRDefault="00816176" w:rsidP="00DA7631">
      <w:pPr>
        <w:spacing w:line="240" w:lineRule="auto"/>
        <w:jc w:val="center"/>
        <w:rPr>
          <w:b/>
          <w:sz w:val="22"/>
          <w:szCs w:val="22"/>
          <w:u w:val="single" w:color="000000"/>
        </w:rPr>
      </w:pPr>
      <w:r w:rsidRPr="00411B94">
        <w:rPr>
          <w:b/>
          <w:sz w:val="22"/>
          <w:szCs w:val="22"/>
          <w:u w:val="single" w:color="000000"/>
        </w:rPr>
        <w:t>AND SUPPLEMENTAL INFORMATION</w:t>
      </w:r>
    </w:p>
    <w:p w:rsidR="00CB1C6E" w:rsidRDefault="00CB1C6E" w:rsidP="00E20F04">
      <w:pPr>
        <w:spacing w:line="240" w:lineRule="auto"/>
        <w:rPr>
          <w:sz w:val="16"/>
          <w:szCs w:val="16"/>
        </w:rPr>
      </w:pPr>
    </w:p>
    <w:p w:rsidR="00FF7EC2" w:rsidRPr="006657BC" w:rsidRDefault="00FF7EC2" w:rsidP="00E20F04">
      <w:pPr>
        <w:spacing w:line="240" w:lineRule="auto"/>
        <w:rPr>
          <w:sz w:val="16"/>
          <w:szCs w:val="16"/>
        </w:rPr>
      </w:pPr>
    </w:p>
    <w:p w:rsidR="00D41A59" w:rsidRPr="00411B94" w:rsidRDefault="00896421" w:rsidP="00D41A59">
      <w:pPr>
        <w:spacing w:line="240" w:lineRule="auto"/>
        <w:ind w:left="360" w:firstLine="360"/>
        <w:rPr>
          <w:sz w:val="22"/>
          <w:szCs w:val="22"/>
        </w:rPr>
      </w:pPr>
      <w:r w:rsidRPr="00411B94">
        <w:rPr>
          <w:sz w:val="22"/>
          <w:szCs w:val="22"/>
        </w:rPr>
        <w:t xml:space="preserve">The amounts available in </w:t>
      </w:r>
      <w:r w:rsidR="00897800" w:rsidRPr="00411B94">
        <w:rPr>
          <w:sz w:val="22"/>
          <w:szCs w:val="22"/>
        </w:rPr>
        <w:t>each Set-</w:t>
      </w:r>
      <w:r w:rsidRPr="00411B94">
        <w:rPr>
          <w:sz w:val="22"/>
          <w:szCs w:val="22"/>
        </w:rPr>
        <w:t>Aside</w:t>
      </w:r>
      <w:r w:rsidR="00897800" w:rsidRPr="00411B94">
        <w:rPr>
          <w:sz w:val="22"/>
          <w:szCs w:val="22"/>
        </w:rPr>
        <w:t>, Pool</w:t>
      </w:r>
      <w:r w:rsidR="003200A1" w:rsidRPr="00411B94">
        <w:rPr>
          <w:sz w:val="22"/>
          <w:szCs w:val="22"/>
        </w:rPr>
        <w:t xml:space="preserve"> or Preference</w:t>
      </w:r>
      <w:r w:rsidRPr="00411B94">
        <w:rPr>
          <w:sz w:val="22"/>
          <w:szCs w:val="22"/>
        </w:rPr>
        <w:t xml:space="preserve"> may be adjusted by the Agency at any time to ensure adequate and appropriate funding of the </w:t>
      </w:r>
      <w:r w:rsidR="00802801" w:rsidRPr="00411B94">
        <w:rPr>
          <w:sz w:val="22"/>
          <w:szCs w:val="22"/>
        </w:rPr>
        <w:t>Applications</w:t>
      </w:r>
      <w:r w:rsidRPr="00411B94">
        <w:rPr>
          <w:sz w:val="22"/>
          <w:szCs w:val="22"/>
        </w:rPr>
        <w:t xml:space="preserve"> meeting the </w:t>
      </w:r>
      <w:r w:rsidR="000D5A43" w:rsidRPr="00411B94">
        <w:rPr>
          <w:sz w:val="22"/>
          <w:szCs w:val="22"/>
        </w:rPr>
        <w:t xml:space="preserve">Agency's goals and </w:t>
      </w:r>
      <w:r w:rsidRPr="00411B94">
        <w:rPr>
          <w:sz w:val="22"/>
          <w:szCs w:val="22"/>
        </w:rPr>
        <w:t xml:space="preserve">Program criteria.  </w:t>
      </w:r>
      <w:r w:rsidR="00AF1E30" w:rsidRPr="00411B94">
        <w:rPr>
          <w:sz w:val="22"/>
          <w:szCs w:val="22"/>
        </w:rPr>
        <w:t xml:space="preserve">Should additional Tax Credits </w:t>
      </w:r>
      <w:r w:rsidR="00D41A59" w:rsidRPr="00411B94">
        <w:rPr>
          <w:sz w:val="22"/>
          <w:szCs w:val="22"/>
        </w:rPr>
        <w:t xml:space="preserve">or additional resources </w:t>
      </w:r>
      <w:r w:rsidR="00AF1E30" w:rsidRPr="00411B94">
        <w:rPr>
          <w:sz w:val="22"/>
          <w:szCs w:val="22"/>
        </w:rPr>
        <w:t xml:space="preserve">become available for whatever reason at any time in </w:t>
      </w:r>
      <w:r w:rsidR="00AF1F86">
        <w:rPr>
          <w:sz w:val="22"/>
          <w:szCs w:val="22"/>
        </w:rPr>
        <w:t>2016</w:t>
      </w:r>
      <w:r w:rsidR="00AF1E30" w:rsidRPr="00411B94">
        <w:rPr>
          <w:sz w:val="22"/>
          <w:szCs w:val="22"/>
        </w:rPr>
        <w:t xml:space="preserve">, </w:t>
      </w:r>
      <w:r w:rsidR="00281D91" w:rsidRPr="00411B94">
        <w:rPr>
          <w:sz w:val="22"/>
          <w:szCs w:val="22"/>
        </w:rPr>
        <w:t xml:space="preserve">especially federal or State funding </w:t>
      </w:r>
      <w:r w:rsidR="003200A1" w:rsidRPr="00411B94">
        <w:rPr>
          <w:sz w:val="22"/>
          <w:szCs w:val="22"/>
        </w:rPr>
        <w:t xml:space="preserve">program </w:t>
      </w:r>
      <w:r w:rsidR="00281D91" w:rsidRPr="00411B94">
        <w:rPr>
          <w:sz w:val="22"/>
          <w:szCs w:val="22"/>
        </w:rPr>
        <w:t xml:space="preserve">opportunities for </w:t>
      </w:r>
      <w:r w:rsidR="003200A1" w:rsidRPr="00411B94">
        <w:rPr>
          <w:sz w:val="22"/>
          <w:szCs w:val="22"/>
        </w:rPr>
        <w:t xml:space="preserve">a </w:t>
      </w:r>
      <w:r w:rsidR="00281D91" w:rsidRPr="00411B94">
        <w:rPr>
          <w:sz w:val="22"/>
          <w:szCs w:val="22"/>
        </w:rPr>
        <w:t xml:space="preserve">specific population such as veterans, </w:t>
      </w:r>
      <w:r w:rsidR="00802801" w:rsidRPr="00411B94">
        <w:rPr>
          <w:sz w:val="22"/>
          <w:szCs w:val="22"/>
        </w:rPr>
        <w:t xml:space="preserve">emergency response, </w:t>
      </w:r>
      <w:r w:rsidR="00281D91" w:rsidRPr="00411B94">
        <w:rPr>
          <w:sz w:val="22"/>
          <w:szCs w:val="22"/>
        </w:rPr>
        <w:t>persons with special needs or persons with disabilities</w:t>
      </w:r>
      <w:r w:rsidR="003200A1" w:rsidRPr="00411B94">
        <w:rPr>
          <w:sz w:val="22"/>
          <w:szCs w:val="22"/>
        </w:rPr>
        <w:t xml:space="preserve"> or uni</w:t>
      </w:r>
      <w:r w:rsidR="002A61DE" w:rsidRPr="00411B94">
        <w:rPr>
          <w:sz w:val="22"/>
          <w:szCs w:val="22"/>
        </w:rPr>
        <w:t>q</w:t>
      </w:r>
      <w:r w:rsidR="003200A1" w:rsidRPr="00411B94">
        <w:rPr>
          <w:sz w:val="22"/>
          <w:szCs w:val="22"/>
        </w:rPr>
        <w:t>ue land bank financing opportun</w:t>
      </w:r>
      <w:r w:rsidR="008E17AA" w:rsidRPr="00411B94">
        <w:rPr>
          <w:sz w:val="22"/>
          <w:szCs w:val="22"/>
        </w:rPr>
        <w:t>i</w:t>
      </w:r>
      <w:r w:rsidR="003200A1" w:rsidRPr="00411B94">
        <w:rPr>
          <w:sz w:val="22"/>
          <w:szCs w:val="22"/>
        </w:rPr>
        <w:t>ties</w:t>
      </w:r>
      <w:r w:rsidR="00281D91" w:rsidRPr="00411B94">
        <w:rPr>
          <w:sz w:val="22"/>
          <w:szCs w:val="22"/>
        </w:rPr>
        <w:t xml:space="preserve">, </w:t>
      </w:r>
      <w:r w:rsidR="00AF1E30" w:rsidRPr="00411B94">
        <w:rPr>
          <w:sz w:val="22"/>
          <w:szCs w:val="22"/>
        </w:rPr>
        <w:t xml:space="preserve">the Agency will not issue an amendment to this Allocation Plan but will instead make allocations </w:t>
      </w:r>
      <w:r w:rsidR="00AF1E30" w:rsidRPr="00411B94">
        <w:rPr>
          <w:sz w:val="22"/>
          <w:szCs w:val="22"/>
        </w:rPr>
        <w:lastRenderedPageBreak/>
        <w:t xml:space="preserve">of such additional Tax Credits </w:t>
      </w:r>
      <w:r w:rsidR="00D41A59" w:rsidRPr="00411B94">
        <w:rPr>
          <w:sz w:val="22"/>
          <w:szCs w:val="22"/>
        </w:rPr>
        <w:t xml:space="preserve">or resources </w:t>
      </w:r>
      <w:r w:rsidR="00AF1E30" w:rsidRPr="00411B94">
        <w:rPr>
          <w:sz w:val="22"/>
          <w:szCs w:val="22"/>
        </w:rPr>
        <w:t>based upon priorities and preferences set forth in this Allocation Plan as it deems appropriate.</w:t>
      </w:r>
    </w:p>
    <w:p w:rsidR="00D41A59" w:rsidRPr="00411B94" w:rsidRDefault="00D41A59" w:rsidP="00D41A59">
      <w:pPr>
        <w:spacing w:line="240" w:lineRule="auto"/>
        <w:ind w:left="360" w:firstLine="360"/>
        <w:rPr>
          <w:sz w:val="22"/>
          <w:szCs w:val="22"/>
        </w:rPr>
      </w:pPr>
    </w:p>
    <w:p w:rsidR="00D41A59" w:rsidRPr="00411B94" w:rsidRDefault="00D41A59" w:rsidP="00D41A59">
      <w:pPr>
        <w:spacing w:line="240" w:lineRule="auto"/>
        <w:ind w:left="360" w:firstLine="360"/>
        <w:rPr>
          <w:sz w:val="22"/>
          <w:szCs w:val="22"/>
        </w:rPr>
      </w:pPr>
      <w:r w:rsidRPr="00411B94">
        <w:rPr>
          <w:sz w:val="22"/>
          <w:szCs w:val="22"/>
        </w:rPr>
        <w:t xml:space="preserve">In the event there are changes in federal law subsequent to the adoption of this Allocation Plan or additional regulatory guidance or clarifications regarding the Tax Credit Program become available, the Agency reserves the right to modify, to supplement or to make conforming amendments to this Allocation Plan and all related documents without formal amendment or additional public hearings.  In addition to notifying affected Tax Credit Program </w:t>
      </w:r>
      <w:r w:rsidR="00AA27BE" w:rsidRPr="00411B94">
        <w:rPr>
          <w:sz w:val="22"/>
          <w:szCs w:val="22"/>
        </w:rPr>
        <w:t>A</w:t>
      </w:r>
      <w:r w:rsidRPr="00411B94">
        <w:rPr>
          <w:sz w:val="22"/>
          <w:szCs w:val="22"/>
        </w:rPr>
        <w:t xml:space="preserve">pplicants, information about such subsequent changes will be posted on the Agency’s website at </w:t>
      </w:r>
      <w:r w:rsidRPr="00411B94">
        <w:rPr>
          <w:i/>
          <w:sz w:val="22"/>
          <w:szCs w:val="22"/>
        </w:rPr>
        <w:t>www.phfa.org</w:t>
      </w:r>
      <w:r w:rsidRPr="00411B94">
        <w:rPr>
          <w:sz w:val="22"/>
          <w:szCs w:val="22"/>
        </w:rPr>
        <w:t xml:space="preserve">.  </w:t>
      </w:r>
    </w:p>
    <w:p w:rsidR="00D519CC" w:rsidRPr="00411B94" w:rsidRDefault="00D519CC">
      <w:pPr>
        <w:spacing w:line="240" w:lineRule="auto"/>
        <w:ind w:left="360" w:firstLine="360"/>
        <w:rPr>
          <w:sz w:val="22"/>
          <w:szCs w:val="22"/>
          <w:u w:color="FF0000"/>
        </w:rPr>
      </w:pPr>
    </w:p>
    <w:p w:rsidR="005F072D" w:rsidRPr="00411B94" w:rsidRDefault="007F0959" w:rsidP="001B5101">
      <w:pPr>
        <w:spacing w:line="240" w:lineRule="auto"/>
        <w:ind w:left="360" w:firstLine="360"/>
        <w:rPr>
          <w:sz w:val="22"/>
          <w:szCs w:val="22"/>
          <w:u w:color="FF0000"/>
        </w:rPr>
      </w:pPr>
      <w:r w:rsidRPr="00411B94">
        <w:rPr>
          <w:sz w:val="22"/>
          <w:szCs w:val="22"/>
          <w:u w:color="FF0000"/>
        </w:rPr>
        <w:t xml:space="preserve">The amounts available in </w:t>
      </w:r>
      <w:r w:rsidR="00B86286" w:rsidRPr="00411B94">
        <w:rPr>
          <w:sz w:val="22"/>
          <w:szCs w:val="22"/>
          <w:u w:color="FF0000"/>
        </w:rPr>
        <w:t xml:space="preserve">Set Aside or Pool </w:t>
      </w:r>
      <w:r w:rsidRPr="00411B94">
        <w:rPr>
          <w:sz w:val="22"/>
          <w:szCs w:val="22"/>
          <w:u w:color="FF0000"/>
        </w:rPr>
        <w:t xml:space="preserve">may be adjusted by the Agency at any time to ensure adequate and appropriate funding of the </w:t>
      </w:r>
      <w:r w:rsidR="00AA27BE" w:rsidRPr="00411B94">
        <w:rPr>
          <w:sz w:val="22"/>
          <w:szCs w:val="22"/>
          <w:u w:color="FF0000"/>
        </w:rPr>
        <w:t>Applications</w:t>
      </w:r>
      <w:r w:rsidRPr="00411B94">
        <w:rPr>
          <w:sz w:val="22"/>
          <w:szCs w:val="22"/>
          <w:u w:color="FF0000"/>
        </w:rPr>
        <w:t xml:space="preserve"> meeting the </w:t>
      </w:r>
      <w:r w:rsidR="00036411" w:rsidRPr="00411B94">
        <w:rPr>
          <w:sz w:val="22"/>
          <w:szCs w:val="22"/>
          <w:u w:color="FF0000"/>
        </w:rPr>
        <w:t>P</w:t>
      </w:r>
      <w:r w:rsidRPr="00411B94">
        <w:rPr>
          <w:sz w:val="22"/>
          <w:szCs w:val="22"/>
          <w:u w:color="FF0000"/>
        </w:rPr>
        <w:t>rogram criteria.  Further, t</w:t>
      </w:r>
      <w:r w:rsidR="002E5825" w:rsidRPr="00411B94">
        <w:rPr>
          <w:sz w:val="22"/>
          <w:szCs w:val="22"/>
          <w:u w:color="FF0000"/>
        </w:rPr>
        <w:t xml:space="preserve">he Agency </w:t>
      </w:r>
      <w:r w:rsidR="00D41A59" w:rsidRPr="00411B94">
        <w:rPr>
          <w:sz w:val="22"/>
          <w:szCs w:val="22"/>
          <w:u w:color="FF0000"/>
        </w:rPr>
        <w:t>may</w:t>
      </w:r>
      <w:r w:rsidR="002E5825" w:rsidRPr="00411B94">
        <w:rPr>
          <w:sz w:val="22"/>
          <w:szCs w:val="22"/>
          <w:u w:color="FF0000"/>
        </w:rPr>
        <w:t xml:space="preserve"> allocate more than the available Tax Credits in </w:t>
      </w:r>
      <w:r w:rsidR="00FB19AF" w:rsidRPr="00411B94">
        <w:rPr>
          <w:sz w:val="22"/>
          <w:szCs w:val="22"/>
          <w:u w:color="FF0000"/>
        </w:rPr>
        <w:t xml:space="preserve">each </w:t>
      </w:r>
      <w:r w:rsidR="00091875" w:rsidRPr="00411B94">
        <w:rPr>
          <w:sz w:val="22"/>
          <w:szCs w:val="22"/>
          <w:u w:color="FF0000"/>
        </w:rPr>
        <w:t xml:space="preserve">Set-Aside or Pool </w:t>
      </w:r>
      <w:r w:rsidR="002E5825" w:rsidRPr="00411B94">
        <w:rPr>
          <w:sz w:val="22"/>
          <w:szCs w:val="22"/>
          <w:u w:color="FF0000"/>
        </w:rPr>
        <w:t>in order to fully fund a project reservation which has scored sufficient</w:t>
      </w:r>
      <w:r w:rsidRPr="00411B94">
        <w:rPr>
          <w:sz w:val="22"/>
          <w:szCs w:val="22"/>
          <w:u w:color="FF0000"/>
        </w:rPr>
        <w:t xml:space="preserve"> points to warrant funding but for which funds remaining in the </w:t>
      </w:r>
      <w:r w:rsidR="00091875" w:rsidRPr="00411B94">
        <w:rPr>
          <w:sz w:val="22"/>
          <w:szCs w:val="22"/>
          <w:u w:color="FF0000"/>
        </w:rPr>
        <w:t>Set-Aside or Pool</w:t>
      </w:r>
      <w:r w:rsidR="00896421" w:rsidRPr="00411B94">
        <w:rPr>
          <w:sz w:val="22"/>
          <w:szCs w:val="22"/>
          <w:u w:color="FF0000"/>
        </w:rPr>
        <w:t xml:space="preserve"> </w:t>
      </w:r>
      <w:r w:rsidRPr="00411B94">
        <w:rPr>
          <w:sz w:val="22"/>
          <w:szCs w:val="22"/>
          <w:u w:color="FF0000"/>
        </w:rPr>
        <w:t xml:space="preserve">cannot fund </w:t>
      </w:r>
      <w:r w:rsidR="002E5825" w:rsidRPr="00411B94">
        <w:rPr>
          <w:sz w:val="22"/>
          <w:szCs w:val="22"/>
          <w:u w:color="FF0000"/>
        </w:rPr>
        <w:t>the</w:t>
      </w:r>
      <w:r w:rsidRPr="00411B94">
        <w:rPr>
          <w:sz w:val="22"/>
          <w:szCs w:val="22"/>
          <w:u w:color="FF0000"/>
        </w:rPr>
        <w:t xml:space="preserve"> full </w:t>
      </w:r>
      <w:r w:rsidR="002E5825" w:rsidRPr="00411B94">
        <w:rPr>
          <w:sz w:val="22"/>
          <w:szCs w:val="22"/>
          <w:u w:color="FF0000"/>
        </w:rPr>
        <w:t xml:space="preserve">credit amount needed for feasibility.  </w:t>
      </w:r>
      <w:r w:rsidR="005F072D" w:rsidRPr="00411B94">
        <w:rPr>
          <w:sz w:val="22"/>
          <w:szCs w:val="22"/>
          <w:u w:color="FF0000"/>
        </w:rPr>
        <w:t xml:space="preserve">For developments returning Tax Credits from a previous or current year’s allocation, the Tax Credits may be </w:t>
      </w:r>
      <w:r w:rsidR="00FE38A2" w:rsidRPr="00411B94">
        <w:rPr>
          <w:sz w:val="22"/>
          <w:szCs w:val="22"/>
          <w:u w:color="FF0000"/>
        </w:rPr>
        <w:t>redistributed</w:t>
      </w:r>
      <w:r w:rsidR="00152065" w:rsidRPr="00411B94">
        <w:rPr>
          <w:sz w:val="22"/>
          <w:szCs w:val="22"/>
          <w:u w:color="FF0000"/>
        </w:rPr>
        <w:t xml:space="preserve"> at the Agency’s discretion</w:t>
      </w:r>
      <w:r w:rsidR="00F4219B" w:rsidRPr="00411B94">
        <w:rPr>
          <w:sz w:val="22"/>
          <w:szCs w:val="22"/>
          <w:u w:color="FF0000"/>
        </w:rPr>
        <w:t>.</w:t>
      </w:r>
    </w:p>
    <w:p w:rsidR="00A3458A" w:rsidRPr="00411B94" w:rsidRDefault="00A3458A" w:rsidP="00E94493">
      <w:pPr>
        <w:spacing w:line="240" w:lineRule="auto"/>
        <w:rPr>
          <w:sz w:val="22"/>
          <w:szCs w:val="22"/>
        </w:rPr>
      </w:pPr>
    </w:p>
    <w:p w:rsidR="00A3458A" w:rsidRPr="00411B94" w:rsidRDefault="00AF45D0" w:rsidP="001B5101">
      <w:pPr>
        <w:pStyle w:val="BodyTextIndent"/>
        <w:spacing w:line="240" w:lineRule="auto"/>
        <w:ind w:left="360" w:right="43" w:firstLine="360"/>
        <w:rPr>
          <w:sz w:val="22"/>
          <w:szCs w:val="22"/>
          <w:u w:color="FF0000"/>
        </w:rPr>
      </w:pPr>
      <w:r w:rsidRPr="00411B94">
        <w:rPr>
          <w:sz w:val="22"/>
          <w:szCs w:val="22"/>
          <w:u w:color="FF0000"/>
        </w:rPr>
        <w:t xml:space="preserve">After the Agency reserves Tax Credits for </w:t>
      </w:r>
      <w:r w:rsidR="00AF1F86">
        <w:rPr>
          <w:sz w:val="22"/>
          <w:szCs w:val="22"/>
          <w:u w:color="FF0000"/>
        </w:rPr>
        <w:t>2016</w:t>
      </w:r>
      <w:r w:rsidR="001C3767" w:rsidRPr="00411B94">
        <w:rPr>
          <w:sz w:val="22"/>
          <w:szCs w:val="22"/>
          <w:u w:color="FF0000"/>
        </w:rPr>
        <w:t xml:space="preserve"> </w:t>
      </w:r>
      <w:r w:rsidRPr="00411B94">
        <w:rPr>
          <w:sz w:val="22"/>
          <w:szCs w:val="22"/>
          <w:u w:color="FF0000"/>
        </w:rPr>
        <w:t xml:space="preserve">Applications, the </w:t>
      </w:r>
      <w:r w:rsidR="00DD3D4D" w:rsidRPr="00411B94">
        <w:rPr>
          <w:sz w:val="22"/>
          <w:szCs w:val="22"/>
          <w:u w:color="FF0000"/>
        </w:rPr>
        <w:t xml:space="preserve">Agency may </w:t>
      </w:r>
      <w:r w:rsidR="00074572" w:rsidRPr="00411B94">
        <w:rPr>
          <w:sz w:val="22"/>
          <w:szCs w:val="22"/>
          <w:u w:color="FF0000"/>
        </w:rPr>
        <w:t xml:space="preserve">allocate such </w:t>
      </w:r>
      <w:r w:rsidR="00AF1F86">
        <w:rPr>
          <w:sz w:val="22"/>
          <w:szCs w:val="22"/>
          <w:u w:color="FF0000"/>
        </w:rPr>
        <w:t>2016</w:t>
      </w:r>
      <w:r w:rsidR="001C3767" w:rsidRPr="00411B94">
        <w:rPr>
          <w:sz w:val="22"/>
          <w:szCs w:val="22"/>
          <w:u w:color="FF0000"/>
        </w:rPr>
        <w:t xml:space="preserve"> </w:t>
      </w:r>
      <w:r w:rsidR="00074572" w:rsidRPr="00411B94">
        <w:rPr>
          <w:sz w:val="22"/>
          <w:szCs w:val="22"/>
          <w:u w:color="FF0000"/>
        </w:rPr>
        <w:t xml:space="preserve">Tax Credits as may be available to </w:t>
      </w:r>
      <w:r w:rsidR="005E5213" w:rsidRPr="00411B94">
        <w:rPr>
          <w:sz w:val="22"/>
          <w:szCs w:val="22"/>
          <w:u w:color="FF0000"/>
        </w:rPr>
        <w:t xml:space="preserve">any </w:t>
      </w:r>
      <w:r w:rsidR="00AA27BE" w:rsidRPr="00411B94">
        <w:rPr>
          <w:sz w:val="22"/>
          <w:szCs w:val="22"/>
          <w:u w:color="FF0000"/>
        </w:rPr>
        <w:t>Application</w:t>
      </w:r>
      <w:r w:rsidR="00074572" w:rsidRPr="00411B94">
        <w:rPr>
          <w:sz w:val="22"/>
          <w:szCs w:val="22"/>
          <w:u w:color="FF0000"/>
        </w:rPr>
        <w:t xml:space="preserve"> wh</w:t>
      </w:r>
      <w:r w:rsidR="00BF4827" w:rsidRPr="00411B94">
        <w:rPr>
          <w:sz w:val="22"/>
          <w:szCs w:val="22"/>
          <w:u w:color="FF0000"/>
        </w:rPr>
        <w:t>ich</w:t>
      </w:r>
      <w:r w:rsidR="00074572" w:rsidRPr="00411B94">
        <w:rPr>
          <w:sz w:val="22"/>
          <w:szCs w:val="22"/>
          <w:u w:color="FF0000"/>
        </w:rPr>
        <w:t xml:space="preserve"> either </w:t>
      </w:r>
      <w:r w:rsidR="00BF4827" w:rsidRPr="00411B94">
        <w:rPr>
          <w:sz w:val="22"/>
          <w:szCs w:val="22"/>
          <w:u w:color="FF0000"/>
        </w:rPr>
        <w:t>did not receive a reservation</w:t>
      </w:r>
      <w:r w:rsidR="00200789" w:rsidRPr="00411B94">
        <w:rPr>
          <w:sz w:val="22"/>
          <w:szCs w:val="22"/>
          <w:u w:color="FF0000"/>
        </w:rPr>
        <w:t xml:space="preserve"> or</w:t>
      </w:r>
      <w:r w:rsidR="00074572" w:rsidRPr="00411B94">
        <w:rPr>
          <w:sz w:val="22"/>
          <w:szCs w:val="22"/>
          <w:u w:color="FF0000"/>
        </w:rPr>
        <w:t xml:space="preserve"> wh</w:t>
      </w:r>
      <w:r w:rsidR="005E5213" w:rsidRPr="00411B94">
        <w:rPr>
          <w:sz w:val="22"/>
          <w:szCs w:val="22"/>
          <w:u w:color="FF0000"/>
        </w:rPr>
        <w:t>ich</w:t>
      </w:r>
      <w:r w:rsidR="00074572" w:rsidRPr="00411B94">
        <w:rPr>
          <w:sz w:val="22"/>
          <w:szCs w:val="22"/>
          <w:u w:color="FF0000"/>
        </w:rPr>
        <w:t xml:space="preserve"> need</w:t>
      </w:r>
      <w:r w:rsidR="00BF4827" w:rsidRPr="00411B94">
        <w:rPr>
          <w:sz w:val="22"/>
          <w:szCs w:val="22"/>
          <w:u w:color="FF0000"/>
        </w:rPr>
        <w:t>s</w:t>
      </w:r>
      <w:r w:rsidR="005E5213" w:rsidRPr="00411B94">
        <w:rPr>
          <w:sz w:val="22"/>
          <w:szCs w:val="22"/>
          <w:u w:color="FF0000"/>
        </w:rPr>
        <w:t xml:space="preserve"> </w:t>
      </w:r>
      <w:r w:rsidR="00074572" w:rsidRPr="00411B94">
        <w:rPr>
          <w:sz w:val="22"/>
          <w:szCs w:val="22"/>
          <w:u w:color="FF0000"/>
        </w:rPr>
        <w:t xml:space="preserve">additional credits to fully support </w:t>
      </w:r>
      <w:r w:rsidR="00277FED" w:rsidRPr="00411B94">
        <w:rPr>
          <w:sz w:val="22"/>
          <w:szCs w:val="22"/>
          <w:u w:color="FF0000"/>
        </w:rPr>
        <w:t xml:space="preserve">its </w:t>
      </w:r>
      <w:r w:rsidR="005E5213" w:rsidRPr="00411B94">
        <w:rPr>
          <w:sz w:val="22"/>
          <w:szCs w:val="22"/>
          <w:u w:color="FF0000"/>
        </w:rPr>
        <w:t xml:space="preserve">financial feasibility.  </w:t>
      </w:r>
      <w:r w:rsidR="00074572" w:rsidRPr="00411B94">
        <w:rPr>
          <w:sz w:val="22"/>
          <w:szCs w:val="22"/>
          <w:u w:color="FF0000"/>
        </w:rPr>
        <w:t xml:space="preserve">In addition, the Agency may </w:t>
      </w:r>
      <w:r w:rsidR="00DD3D4D" w:rsidRPr="00411B94">
        <w:rPr>
          <w:sz w:val="22"/>
          <w:szCs w:val="22"/>
          <w:u w:color="FF0000"/>
        </w:rPr>
        <w:t xml:space="preserve">make binding commitments to allocate Tax Credits through a forward allocation </w:t>
      </w:r>
      <w:r w:rsidR="00A3458A" w:rsidRPr="00411B94">
        <w:rPr>
          <w:sz w:val="22"/>
          <w:szCs w:val="22"/>
          <w:u w:color="FF0000"/>
        </w:rPr>
        <w:t xml:space="preserve">process to ensure that it will be able to completely allocate year </w:t>
      </w:r>
      <w:r w:rsidR="00AF1F86">
        <w:rPr>
          <w:sz w:val="22"/>
          <w:szCs w:val="22"/>
          <w:u w:color="FF0000"/>
        </w:rPr>
        <w:t>2016</w:t>
      </w:r>
      <w:r w:rsidR="001C3767" w:rsidRPr="00411B94">
        <w:rPr>
          <w:sz w:val="22"/>
          <w:szCs w:val="22"/>
          <w:u w:color="FF0000"/>
        </w:rPr>
        <w:t xml:space="preserve"> </w:t>
      </w:r>
      <w:r w:rsidR="00A3458A" w:rsidRPr="00411B94">
        <w:rPr>
          <w:sz w:val="22"/>
          <w:szCs w:val="22"/>
          <w:u w:color="FF0000"/>
        </w:rPr>
        <w:t xml:space="preserve">Tax Credits prior to the end of the year.  </w:t>
      </w:r>
      <w:r w:rsidR="00AA27BE" w:rsidRPr="00411B94">
        <w:rPr>
          <w:sz w:val="22"/>
          <w:szCs w:val="22"/>
          <w:u w:color="FF0000"/>
        </w:rPr>
        <w:t>Applicants</w:t>
      </w:r>
      <w:r w:rsidR="00A3458A" w:rsidRPr="00411B94">
        <w:rPr>
          <w:sz w:val="22"/>
          <w:szCs w:val="22"/>
          <w:u w:color="FF0000"/>
        </w:rPr>
        <w:t xml:space="preserve"> may not apply for or request a forward allocation.  The Agency may determine to forward allocate based on geographic distribution, specific project needs</w:t>
      </w:r>
      <w:r w:rsidR="00AA27BE" w:rsidRPr="00411B94">
        <w:rPr>
          <w:sz w:val="22"/>
          <w:szCs w:val="22"/>
          <w:u w:color="FF0000"/>
        </w:rPr>
        <w:t>, housing goals</w:t>
      </w:r>
      <w:r w:rsidR="00A3458A" w:rsidRPr="00411B94">
        <w:rPr>
          <w:sz w:val="22"/>
          <w:szCs w:val="22"/>
          <w:u w:color="FF0000"/>
        </w:rPr>
        <w:t xml:space="preserve"> or program considerations </w:t>
      </w:r>
      <w:r w:rsidR="00DD3D4D" w:rsidRPr="00411B94">
        <w:rPr>
          <w:sz w:val="22"/>
          <w:szCs w:val="22"/>
          <w:u w:color="FF0000"/>
        </w:rPr>
        <w:t xml:space="preserve">in </w:t>
      </w:r>
      <w:r w:rsidR="00A3458A" w:rsidRPr="00411B94">
        <w:rPr>
          <w:sz w:val="22"/>
          <w:szCs w:val="22"/>
          <w:u w:color="FF0000"/>
        </w:rPr>
        <w:t>the sole discretion of the Agency.</w:t>
      </w:r>
    </w:p>
    <w:p w:rsidR="005F072D" w:rsidRPr="00411B94" w:rsidRDefault="005F072D" w:rsidP="00E94493">
      <w:pPr>
        <w:spacing w:line="240" w:lineRule="auto"/>
        <w:rPr>
          <w:sz w:val="22"/>
          <w:szCs w:val="22"/>
        </w:rPr>
      </w:pPr>
    </w:p>
    <w:p w:rsidR="005F072D" w:rsidRPr="00411B94" w:rsidRDefault="000652CA" w:rsidP="001B5101">
      <w:pPr>
        <w:spacing w:line="240" w:lineRule="auto"/>
        <w:ind w:left="360" w:firstLine="360"/>
        <w:rPr>
          <w:sz w:val="22"/>
          <w:szCs w:val="22"/>
        </w:rPr>
      </w:pPr>
      <w:r w:rsidRPr="00411B94">
        <w:rPr>
          <w:b/>
          <w:sz w:val="22"/>
          <w:szCs w:val="22"/>
        </w:rPr>
        <w:t>Tax Credits are not guaranteed to any party, regardless of the ranking or points achieved through the evaluation process. The Agency will review the geographic location, developers and types of projects to attempt to achieve distribution throughout the Commonwealth.</w:t>
      </w:r>
      <w:r w:rsidR="00AF45D0" w:rsidRPr="00411B94">
        <w:rPr>
          <w:sz w:val="22"/>
          <w:szCs w:val="22"/>
        </w:rPr>
        <w:t xml:space="preserve">  </w:t>
      </w:r>
      <w:r w:rsidR="005F072D" w:rsidRPr="00411B94">
        <w:rPr>
          <w:sz w:val="22"/>
          <w:szCs w:val="22"/>
        </w:rPr>
        <w:t xml:space="preserve">In addition, the Agency </w:t>
      </w:r>
      <w:r w:rsidR="001A58DD" w:rsidRPr="00411B94">
        <w:rPr>
          <w:sz w:val="22"/>
          <w:szCs w:val="22"/>
          <w:u w:color="FF0000"/>
        </w:rPr>
        <w:t xml:space="preserve">may impose a </w:t>
      </w:r>
      <w:r w:rsidR="005F072D" w:rsidRPr="00411B94">
        <w:rPr>
          <w:sz w:val="22"/>
          <w:szCs w:val="22"/>
          <w:u w:color="FF0000"/>
        </w:rPr>
        <w:t>$1</w:t>
      </w:r>
      <w:r w:rsidR="00BD109A" w:rsidRPr="00411B94">
        <w:rPr>
          <w:sz w:val="22"/>
          <w:szCs w:val="22"/>
          <w:u w:color="FF0000"/>
        </w:rPr>
        <w:t>,</w:t>
      </w:r>
      <w:r w:rsidR="000E2A6A" w:rsidRPr="00411B94">
        <w:rPr>
          <w:sz w:val="22"/>
          <w:szCs w:val="22"/>
          <w:u w:color="FF0000"/>
        </w:rPr>
        <w:t>2</w:t>
      </w:r>
      <w:r w:rsidR="005F072D" w:rsidRPr="00411B94">
        <w:rPr>
          <w:sz w:val="22"/>
          <w:szCs w:val="22"/>
          <w:u w:color="FF0000"/>
        </w:rPr>
        <w:t>00,000 per develop</w:t>
      </w:r>
      <w:r w:rsidR="004A6F40" w:rsidRPr="00411B94">
        <w:rPr>
          <w:sz w:val="22"/>
          <w:szCs w:val="22"/>
          <w:u w:color="FF0000"/>
        </w:rPr>
        <w:t>er</w:t>
      </w:r>
      <w:r w:rsidR="000A61BE" w:rsidRPr="00411B94">
        <w:rPr>
          <w:sz w:val="22"/>
          <w:szCs w:val="22"/>
          <w:u w:color="FF0000"/>
        </w:rPr>
        <w:t xml:space="preserve"> </w:t>
      </w:r>
      <w:r w:rsidR="001F186B" w:rsidRPr="00411B94">
        <w:rPr>
          <w:sz w:val="22"/>
          <w:szCs w:val="22"/>
          <w:u w:color="FF0000"/>
        </w:rPr>
        <w:t xml:space="preserve">per </w:t>
      </w:r>
      <w:r w:rsidR="000950D4" w:rsidRPr="00411B94">
        <w:rPr>
          <w:sz w:val="22"/>
          <w:szCs w:val="22"/>
          <w:u w:color="FF0000"/>
        </w:rPr>
        <w:t>cycle</w:t>
      </w:r>
      <w:r w:rsidR="001F186B" w:rsidRPr="00411B94">
        <w:rPr>
          <w:sz w:val="22"/>
          <w:szCs w:val="22"/>
          <w:u w:color="FF0000"/>
        </w:rPr>
        <w:t xml:space="preserve"> </w:t>
      </w:r>
      <w:r w:rsidR="00F13FE4" w:rsidRPr="00411B94">
        <w:rPr>
          <w:sz w:val="22"/>
          <w:szCs w:val="22"/>
          <w:u w:color="FF0000"/>
        </w:rPr>
        <w:t>maximum</w:t>
      </w:r>
      <w:r w:rsidR="005F072D" w:rsidRPr="00411B94">
        <w:rPr>
          <w:sz w:val="22"/>
          <w:szCs w:val="22"/>
          <w:u w:color="FF0000"/>
        </w:rPr>
        <w:t xml:space="preserve"> on the Tax Credits </w:t>
      </w:r>
      <w:r w:rsidR="00AF45D0" w:rsidRPr="00411B94">
        <w:rPr>
          <w:sz w:val="22"/>
          <w:szCs w:val="22"/>
          <w:u w:color="FF0000"/>
        </w:rPr>
        <w:t>or otherwise restrict the amount of Tax Credits to any particular developer</w:t>
      </w:r>
      <w:r w:rsidR="00B4479F" w:rsidRPr="00411B94">
        <w:rPr>
          <w:sz w:val="22"/>
          <w:szCs w:val="22"/>
          <w:u w:color="FF0000"/>
        </w:rPr>
        <w:t xml:space="preserve"> or project</w:t>
      </w:r>
      <w:r w:rsidR="00955012" w:rsidRPr="00411B94">
        <w:rPr>
          <w:sz w:val="22"/>
          <w:szCs w:val="22"/>
          <w:u w:color="FF0000"/>
        </w:rPr>
        <w:t xml:space="preserve">. </w:t>
      </w:r>
      <w:r w:rsidR="00FA3D8E" w:rsidRPr="00411B94">
        <w:rPr>
          <w:sz w:val="22"/>
          <w:szCs w:val="22"/>
        </w:rPr>
        <w:t xml:space="preserve">Based upon the demand for Tax Credits and development rankings, the Tax Credits reserved for any one </w:t>
      </w:r>
      <w:r w:rsidR="00AA27BE" w:rsidRPr="00411B94">
        <w:rPr>
          <w:sz w:val="22"/>
          <w:szCs w:val="22"/>
        </w:rPr>
        <w:t>A</w:t>
      </w:r>
      <w:r w:rsidR="00FA3D8E" w:rsidRPr="00411B94">
        <w:rPr>
          <w:sz w:val="22"/>
          <w:szCs w:val="22"/>
        </w:rPr>
        <w:t xml:space="preserve">pplicant (or related entity </w:t>
      </w:r>
      <w:r w:rsidR="002845E6" w:rsidRPr="00411B94">
        <w:rPr>
          <w:sz w:val="22"/>
          <w:szCs w:val="22"/>
        </w:rPr>
        <w:t>or material participant</w:t>
      </w:r>
      <w:r w:rsidR="00FA3D8E" w:rsidRPr="00411B94">
        <w:rPr>
          <w:sz w:val="22"/>
          <w:szCs w:val="22"/>
        </w:rPr>
        <w:t xml:space="preserve">) or development in any specific jurisdiction or within a particular Set-Aside may be limited at the discretion of the Agency.  </w:t>
      </w:r>
      <w:r w:rsidR="0062264F" w:rsidRPr="00411B94">
        <w:rPr>
          <w:sz w:val="22"/>
          <w:szCs w:val="22"/>
        </w:rPr>
        <w:t xml:space="preserve">Furthermore, Applications with costs that the Agency deems to be excessive </w:t>
      </w:r>
      <w:r w:rsidR="000D5A43" w:rsidRPr="00411B94">
        <w:rPr>
          <w:sz w:val="22"/>
          <w:szCs w:val="22"/>
        </w:rPr>
        <w:t xml:space="preserve">based on the facts and circumstances </w:t>
      </w:r>
      <w:r w:rsidR="0062264F" w:rsidRPr="00411B94">
        <w:rPr>
          <w:sz w:val="22"/>
          <w:szCs w:val="22"/>
        </w:rPr>
        <w:t xml:space="preserve">may be rejected or suspended from processing.  </w:t>
      </w:r>
      <w:r w:rsidR="00FA3D8E" w:rsidRPr="00411B94">
        <w:rPr>
          <w:sz w:val="22"/>
          <w:szCs w:val="22"/>
        </w:rPr>
        <w:t>Moreover, the Agency reserves the right to amend, modify or waive specific nonmaterial submission requirements or requisite documentation to achieve affordable housing programs or affirmatively further fair housing in the Commonwealth</w:t>
      </w:r>
      <w:r w:rsidR="00346CB5" w:rsidRPr="00411B94">
        <w:rPr>
          <w:sz w:val="22"/>
          <w:szCs w:val="22"/>
        </w:rPr>
        <w:t>.</w:t>
      </w:r>
    </w:p>
    <w:p w:rsidR="00001EE4" w:rsidRPr="00411B94" w:rsidRDefault="00001EE4">
      <w:pPr>
        <w:widowControl/>
        <w:adjustRightInd/>
        <w:spacing w:line="240" w:lineRule="auto"/>
        <w:jc w:val="left"/>
        <w:textAlignment w:val="auto"/>
        <w:rPr>
          <w:b/>
          <w:sz w:val="22"/>
          <w:szCs w:val="22"/>
          <w:u w:val="single"/>
        </w:rPr>
      </w:pPr>
    </w:p>
    <w:p w:rsidR="005F072D" w:rsidRPr="00411B94" w:rsidRDefault="005F072D" w:rsidP="00E94493">
      <w:pPr>
        <w:spacing w:line="240" w:lineRule="auto"/>
        <w:jc w:val="center"/>
        <w:rPr>
          <w:b/>
          <w:sz w:val="22"/>
          <w:szCs w:val="22"/>
          <w:u w:val="single"/>
        </w:rPr>
      </w:pPr>
      <w:r w:rsidRPr="00411B94">
        <w:rPr>
          <w:b/>
          <w:sz w:val="22"/>
          <w:szCs w:val="22"/>
          <w:u w:val="single"/>
        </w:rPr>
        <w:t xml:space="preserve">MAXIMUM </w:t>
      </w:r>
      <w:smartTag w:uri="urn:schemas-microsoft-com:office:smarttags" w:element="stockticker">
        <w:r w:rsidRPr="00411B94">
          <w:rPr>
            <w:b/>
            <w:sz w:val="22"/>
            <w:szCs w:val="22"/>
            <w:u w:val="single"/>
          </w:rPr>
          <w:t>PER</w:t>
        </w:r>
      </w:smartTag>
      <w:r w:rsidRPr="00411B94">
        <w:rPr>
          <w:b/>
          <w:sz w:val="22"/>
          <w:szCs w:val="22"/>
          <w:u w:val="single"/>
        </w:rPr>
        <w:t xml:space="preserve"> </w:t>
      </w:r>
      <w:smartTag w:uri="urn:schemas-microsoft-com:office:smarttags" w:element="stockticker">
        <w:r w:rsidRPr="00411B94">
          <w:rPr>
            <w:b/>
            <w:sz w:val="22"/>
            <w:szCs w:val="22"/>
            <w:u w:val="single"/>
          </w:rPr>
          <w:t>UNIT</w:t>
        </w:r>
      </w:smartTag>
      <w:r w:rsidRPr="00411B94">
        <w:rPr>
          <w:b/>
          <w:sz w:val="22"/>
          <w:szCs w:val="22"/>
          <w:u w:val="single"/>
        </w:rPr>
        <w:t xml:space="preserve"> BASIS LIMITATIONS</w:t>
      </w:r>
    </w:p>
    <w:p w:rsidR="005F072D" w:rsidRPr="00411B94" w:rsidRDefault="005F072D" w:rsidP="00E94493">
      <w:pPr>
        <w:spacing w:line="240" w:lineRule="auto"/>
        <w:rPr>
          <w:sz w:val="22"/>
          <w:szCs w:val="22"/>
        </w:rPr>
      </w:pPr>
    </w:p>
    <w:p w:rsidR="005F072D" w:rsidRPr="00411B94" w:rsidRDefault="005F072D" w:rsidP="001B5101">
      <w:pPr>
        <w:spacing w:line="240" w:lineRule="auto"/>
        <w:ind w:left="360" w:firstLine="360"/>
        <w:rPr>
          <w:sz w:val="22"/>
          <w:szCs w:val="22"/>
        </w:rPr>
      </w:pPr>
      <w:r w:rsidRPr="00411B94">
        <w:rPr>
          <w:sz w:val="22"/>
          <w:szCs w:val="22"/>
        </w:rPr>
        <w:t xml:space="preserve">The Agency has established a maximum basis per unit </w:t>
      </w:r>
      <w:r w:rsidR="008F2466" w:rsidRPr="00411B94">
        <w:rPr>
          <w:sz w:val="22"/>
          <w:szCs w:val="22"/>
        </w:rPr>
        <w:t>limit of $250,000</w:t>
      </w:r>
      <w:r w:rsidR="00215180" w:rsidRPr="00411B94">
        <w:rPr>
          <w:sz w:val="22"/>
          <w:szCs w:val="22"/>
        </w:rPr>
        <w:t xml:space="preserve"> </w:t>
      </w:r>
      <w:r w:rsidR="006D1D35" w:rsidRPr="00411B94">
        <w:rPr>
          <w:sz w:val="22"/>
          <w:szCs w:val="22"/>
        </w:rPr>
        <w:t>(</w:t>
      </w:r>
      <w:r w:rsidRPr="00411B94">
        <w:rPr>
          <w:sz w:val="22"/>
          <w:szCs w:val="22"/>
        </w:rPr>
        <w:t>"Maximum Basis"</w:t>
      </w:r>
      <w:r w:rsidR="006D1D35" w:rsidRPr="00411B94">
        <w:rPr>
          <w:sz w:val="22"/>
          <w:szCs w:val="22"/>
        </w:rPr>
        <w:t xml:space="preserve">).  </w:t>
      </w:r>
      <w:r w:rsidR="008F2466" w:rsidRPr="00411B94">
        <w:rPr>
          <w:sz w:val="22"/>
          <w:szCs w:val="22"/>
        </w:rPr>
        <w:t>The Agency may consider a waiver of th</w:t>
      </w:r>
      <w:r w:rsidR="009E0D06" w:rsidRPr="00411B94">
        <w:rPr>
          <w:sz w:val="22"/>
          <w:szCs w:val="22"/>
        </w:rPr>
        <w:t>is limit</w:t>
      </w:r>
      <w:r w:rsidR="008F2466" w:rsidRPr="00411B94">
        <w:rPr>
          <w:sz w:val="22"/>
          <w:szCs w:val="22"/>
        </w:rPr>
        <w:t xml:space="preserve"> for developments with</w:t>
      </w:r>
      <w:r w:rsidR="0033483E" w:rsidRPr="00411B94">
        <w:rPr>
          <w:sz w:val="22"/>
          <w:szCs w:val="22"/>
        </w:rPr>
        <w:t xml:space="preserve"> a significant number of</w:t>
      </w:r>
      <w:r w:rsidR="008F2466" w:rsidRPr="00411B94">
        <w:rPr>
          <w:sz w:val="22"/>
          <w:szCs w:val="22"/>
        </w:rPr>
        <w:t xml:space="preserve"> larger bedroom counts.  </w:t>
      </w:r>
      <w:r w:rsidR="006D1D35" w:rsidRPr="00411B94">
        <w:rPr>
          <w:sz w:val="22"/>
          <w:szCs w:val="22"/>
        </w:rPr>
        <w:t>Maximum Basis</w:t>
      </w:r>
      <w:r w:rsidRPr="00411B94">
        <w:rPr>
          <w:sz w:val="22"/>
          <w:szCs w:val="22"/>
        </w:rPr>
        <w:t xml:space="preserve"> includes all depreciable costs normally included in the eligible basis determination for rehabilitation or new construction (not including the developer’s fee or cost of acquisition).  Maximum Basis for the purposes of this calculation </w:t>
      </w:r>
      <w:r w:rsidR="00BB4A59" w:rsidRPr="00411B94">
        <w:rPr>
          <w:sz w:val="22"/>
          <w:szCs w:val="22"/>
        </w:rPr>
        <w:t>may be</w:t>
      </w:r>
      <w:r w:rsidRPr="00411B94">
        <w:rPr>
          <w:sz w:val="22"/>
          <w:szCs w:val="22"/>
        </w:rPr>
        <w:t xml:space="preserve"> determined after the deduction for commercial space costs but prior to the pro rata reduction for historic tax credits and other nonqualified financing and costs normally not included in eligible basis.</w:t>
      </w:r>
    </w:p>
    <w:p w:rsidR="00AC48C2" w:rsidRPr="00411B94" w:rsidRDefault="00AC48C2" w:rsidP="00AC48C2">
      <w:pPr>
        <w:spacing w:line="240" w:lineRule="auto"/>
        <w:ind w:left="360" w:firstLine="360"/>
        <w:rPr>
          <w:sz w:val="22"/>
          <w:szCs w:val="22"/>
        </w:rPr>
      </w:pPr>
    </w:p>
    <w:p w:rsidR="00AC48C2" w:rsidRPr="00411B94" w:rsidRDefault="00AC48C2" w:rsidP="00AC48C2">
      <w:pPr>
        <w:spacing w:line="240" w:lineRule="auto"/>
        <w:ind w:left="360" w:firstLine="360"/>
        <w:rPr>
          <w:sz w:val="22"/>
          <w:szCs w:val="22"/>
        </w:rPr>
      </w:pPr>
      <w:r w:rsidRPr="00411B94">
        <w:rPr>
          <w:sz w:val="22"/>
          <w:szCs w:val="22"/>
        </w:rPr>
        <w:t xml:space="preserve">If the Maximum Basis per unit, as previously described, exceeds the established limits, Agency staff may waive the Maximum Basis per unit for some developments.  An Agency waiver of the established limits will be based upon the demonstration of compelling circumstances and justification for the additional basis eligible costs. </w:t>
      </w:r>
      <w:r w:rsidR="00AA27BE" w:rsidRPr="00411B94">
        <w:rPr>
          <w:sz w:val="22"/>
          <w:szCs w:val="22"/>
        </w:rPr>
        <w:t xml:space="preserve"> </w:t>
      </w:r>
      <w:r w:rsidRPr="00411B94">
        <w:rPr>
          <w:sz w:val="22"/>
          <w:szCs w:val="22"/>
        </w:rPr>
        <w:t xml:space="preserve">Compelling circumstances are limited </w:t>
      </w:r>
      <w:r w:rsidR="00142493">
        <w:rPr>
          <w:sz w:val="22"/>
          <w:szCs w:val="22"/>
        </w:rPr>
        <w:t xml:space="preserve">to </w:t>
      </w:r>
      <w:r w:rsidRPr="00411B94">
        <w:rPr>
          <w:sz w:val="22"/>
          <w:szCs w:val="22"/>
        </w:rPr>
        <w:t xml:space="preserve">costs predominately related to the preservation of a designated historic building or necessitated by building in or adjacent to a designated historical district; construction costs attendant to providing supportive services to the resident population that are over and above that typically associated with such housing, including reasonable costs related to the construction of community service </w:t>
      </w:r>
      <w:r w:rsidRPr="00411B94">
        <w:rPr>
          <w:sz w:val="22"/>
          <w:szCs w:val="22"/>
        </w:rPr>
        <w:lastRenderedPageBreak/>
        <w:t>facilities; costs due to structurally unsuitable subsoil conditions; costs associated with environmental remediation of an existing building that will remain in the development</w:t>
      </w:r>
      <w:r w:rsidR="00E83707" w:rsidRPr="00411B94">
        <w:rPr>
          <w:sz w:val="22"/>
          <w:szCs w:val="22"/>
        </w:rPr>
        <w:t xml:space="preserve">; up-front capital expenditures related to energy efficiency systems that exceed threshold requirement and will result in demonstrable savings in utility costs to the development, including solar, geothermal, or other innovative energy savings techniques </w:t>
      </w:r>
      <w:r w:rsidRPr="00411B94">
        <w:rPr>
          <w:sz w:val="22"/>
          <w:szCs w:val="22"/>
        </w:rPr>
        <w:t>and costs resulting from local conditions or attempts to exclude affordable housing (this may include excessive impact fees, building code requirements, restrictive zoning, extraordinary litigation costs incurred because of neighborhood opposition and planning requirements).  For those properties seeking to exceed limits based on costs due to</w:t>
      </w:r>
      <w:r w:rsidR="0033483E" w:rsidRPr="00411B94">
        <w:rPr>
          <w:sz w:val="22"/>
          <w:szCs w:val="22"/>
        </w:rPr>
        <w:t xml:space="preserve"> historic considerations,</w:t>
      </w:r>
      <w:r w:rsidRPr="00411B94">
        <w:rPr>
          <w:sz w:val="22"/>
          <w:szCs w:val="22"/>
        </w:rPr>
        <w:t xml:space="preserve"> unsuitable subsoil conditions, costs associated with environmental remediation, or up-front capital expenditures related to energy efficiency systems that will result in demonstrable savings in utility costs evidence must be provided that such costs are in excess of expenditures required for eligibility for Tax Credits.  In addition, a detailed cost breakdown must be provided indicating the difference between the costs for these items and those of typically constructed developments. </w:t>
      </w:r>
      <w:r w:rsidR="00AA27BE" w:rsidRPr="00411B94">
        <w:rPr>
          <w:sz w:val="22"/>
          <w:szCs w:val="22"/>
        </w:rPr>
        <w:t>Applicants</w:t>
      </w:r>
      <w:r w:rsidRPr="00411B94">
        <w:rPr>
          <w:sz w:val="22"/>
          <w:szCs w:val="22"/>
        </w:rPr>
        <w:t xml:space="preserve"> must provide full explanation of all alternative site considerations and provide adequate justification of the need for the development at the identified location or a full explanation and adequate evidence of cost savings.  For </w:t>
      </w:r>
      <w:r w:rsidR="00AA27BE" w:rsidRPr="00411B94">
        <w:rPr>
          <w:sz w:val="22"/>
          <w:szCs w:val="22"/>
        </w:rPr>
        <w:t>Applications</w:t>
      </w:r>
      <w:r w:rsidRPr="00411B94">
        <w:rPr>
          <w:sz w:val="22"/>
          <w:szCs w:val="22"/>
        </w:rPr>
        <w:t xml:space="preserve"> affected by local attempts to exclude affordable housing, Agency staff will not approve Tax Credits above 30 percent of the Maximum Basis limitation.  For all other circumstances, Agency staff will not approve Tax Credits above 15 percent of the Maximum Basis limitation. A waiver of the Maximum Basis limitation is </w:t>
      </w:r>
      <w:r w:rsidR="009E0D06" w:rsidRPr="00411B94">
        <w:rPr>
          <w:sz w:val="22"/>
          <w:szCs w:val="22"/>
        </w:rPr>
        <w:t xml:space="preserve">solely determined by </w:t>
      </w:r>
      <w:r w:rsidRPr="00411B94">
        <w:rPr>
          <w:sz w:val="22"/>
          <w:szCs w:val="22"/>
        </w:rPr>
        <w:t xml:space="preserve">the Agency.  </w:t>
      </w:r>
    </w:p>
    <w:p w:rsidR="005F072D" w:rsidRPr="00411B94" w:rsidRDefault="005F072D" w:rsidP="00E94493">
      <w:pPr>
        <w:spacing w:line="240" w:lineRule="auto"/>
        <w:rPr>
          <w:sz w:val="16"/>
          <w:szCs w:val="16"/>
        </w:rPr>
      </w:pPr>
    </w:p>
    <w:p w:rsidR="005F072D" w:rsidRPr="00411B94" w:rsidRDefault="005F072D" w:rsidP="001B5101">
      <w:pPr>
        <w:spacing w:line="240" w:lineRule="auto"/>
        <w:ind w:left="360" w:firstLine="360"/>
        <w:rPr>
          <w:sz w:val="22"/>
          <w:szCs w:val="22"/>
        </w:rPr>
      </w:pPr>
      <w:r w:rsidRPr="00411B94">
        <w:rPr>
          <w:sz w:val="22"/>
          <w:szCs w:val="22"/>
        </w:rPr>
        <w:t xml:space="preserve">Developments located in a "qualified census tract" or "difficult development area", as established by HUD, may qualify for Tax Credits based on 130 percent </w:t>
      </w:r>
      <w:r w:rsidR="00AC46F5" w:rsidRPr="00411B94">
        <w:rPr>
          <w:sz w:val="22"/>
          <w:szCs w:val="22"/>
        </w:rPr>
        <w:t>(130%)</w:t>
      </w:r>
      <w:r w:rsidR="00C17DCE" w:rsidRPr="00411B94">
        <w:rPr>
          <w:sz w:val="22"/>
          <w:szCs w:val="22"/>
        </w:rPr>
        <w:t xml:space="preserve"> </w:t>
      </w:r>
      <w:r w:rsidRPr="00411B94">
        <w:rPr>
          <w:sz w:val="22"/>
          <w:szCs w:val="22"/>
        </w:rPr>
        <w:t xml:space="preserve">of the eligible </w:t>
      </w:r>
      <w:r w:rsidR="00757956" w:rsidRPr="00411B94">
        <w:rPr>
          <w:sz w:val="22"/>
          <w:szCs w:val="22"/>
        </w:rPr>
        <w:t xml:space="preserve">rehabilitation/new construction </w:t>
      </w:r>
      <w:r w:rsidRPr="00411B94">
        <w:rPr>
          <w:sz w:val="22"/>
          <w:szCs w:val="22"/>
        </w:rPr>
        <w:t>basis</w:t>
      </w:r>
      <w:r w:rsidR="00F4219B" w:rsidRPr="00411B94">
        <w:rPr>
          <w:sz w:val="22"/>
          <w:szCs w:val="22"/>
        </w:rPr>
        <w:t>.</w:t>
      </w:r>
    </w:p>
    <w:p w:rsidR="0038642C" w:rsidRPr="00411B94" w:rsidRDefault="0038642C" w:rsidP="0038642C">
      <w:pPr>
        <w:spacing w:line="240" w:lineRule="auto"/>
        <w:rPr>
          <w:sz w:val="16"/>
          <w:szCs w:val="16"/>
        </w:rPr>
      </w:pPr>
    </w:p>
    <w:p w:rsidR="00CE0F08" w:rsidRPr="00411B94" w:rsidRDefault="0038642C" w:rsidP="001B5101">
      <w:pPr>
        <w:spacing w:line="240" w:lineRule="auto"/>
        <w:ind w:left="360" w:firstLine="360"/>
        <w:rPr>
          <w:sz w:val="22"/>
          <w:szCs w:val="22"/>
        </w:rPr>
      </w:pPr>
      <w:r w:rsidRPr="00411B94">
        <w:rPr>
          <w:sz w:val="22"/>
          <w:szCs w:val="22"/>
        </w:rPr>
        <w:t xml:space="preserve">Tax Credits in an amount up to 130 percent (130%) of the eligible rehabilitation/new construction basis may also be considered where appropriate by the Agency for </w:t>
      </w:r>
      <w:r w:rsidR="00AA27BE" w:rsidRPr="00411B94">
        <w:rPr>
          <w:sz w:val="22"/>
          <w:szCs w:val="22"/>
        </w:rPr>
        <w:t>Applicants</w:t>
      </w:r>
      <w:r w:rsidRPr="00411B94">
        <w:rPr>
          <w:sz w:val="22"/>
          <w:szCs w:val="22"/>
        </w:rPr>
        <w:t xml:space="preserve"> which demonstrate that they have excess development </w:t>
      </w:r>
      <w:r w:rsidR="00F4219B" w:rsidRPr="00411B94">
        <w:rPr>
          <w:sz w:val="22"/>
          <w:szCs w:val="22"/>
        </w:rPr>
        <w:t>expenses and costs related to:</w:t>
      </w:r>
    </w:p>
    <w:p w:rsidR="0038642C" w:rsidRPr="00411B94" w:rsidRDefault="0038642C" w:rsidP="0038642C">
      <w:pPr>
        <w:spacing w:line="240" w:lineRule="auto"/>
        <w:rPr>
          <w:sz w:val="16"/>
          <w:szCs w:val="16"/>
        </w:rPr>
      </w:pPr>
    </w:p>
    <w:p w:rsidR="0038642C" w:rsidRPr="00411B94" w:rsidRDefault="0038642C" w:rsidP="00334A3C">
      <w:pPr>
        <w:numPr>
          <w:ilvl w:val="0"/>
          <w:numId w:val="30"/>
        </w:numPr>
        <w:tabs>
          <w:tab w:val="clear" w:pos="780"/>
        </w:tabs>
        <w:spacing w:line="240" w:lineRule="auto"/>
        <w:ind w:left="720"/>
        <w:rPr>
          <w:sz w:val="22"/>
          <w:szCs w:val="22"/>
        </w:rPr>
      </w:pPr>
      <w:r w:rsidRPr="00411B94">
        <w:rPr>
          <w:sz w:val="22"/>
          <w:szCs w:val="22"/>
        </w:rPr>
        <w:t>Their location in areas of the Commonwealth with limited federal, state, local or financial resources; or</w:t>
      </w:r>
    </w:p>
    <w:p w:rsidR="00262FCB" w:rsidRPr="00411B94" w:rsidRDefault="009623C5" w:rsidP="00334A3C">
      <w:pPr>
        <w:numPr>
          <w:ilvl w:val="0"/>
          <w:numId w:val="30"/>
        </w:numPr>
        <w:tabs>
          <w:tab w:val="clear" w:pos="780"/>
        </w:tabs>
        <w:spacing w:line="240" w:lineRule="auto"/>
        <w:ind w:left="720"/>
        <w:rPr>
          <w:sz w:val="22"/>
          <w:szCs w:val="22"/>
        </w:rPr>
      </w:pPr>
      <w:r w:rsidRPr="00411B94">
        <w:rPr>
          <w:sz w:val="22"/>
          <w:szCs w:val="22"/>
        </w:rPr>
        <w:t>Their provision of general occupancy units in “areas of opportunity”, as defined by the Agency or are sited in order to affirmatively further fair housing or in areas that have not received representative resources in the past; or</w:t>
      </w:r>
    </w:p>
    <w:p w:rsidR="00983F36" w:rsidRPr="00411B94" w:rsidRDefault="00BB1774" w:rsidP="00334A3C">
      <w:pPr>
        <w:numPr>
          <w:ilvl w:val="0"/>
          <w:numId w:val="30"/>
        </w:numPr>
        <w:tabs>
          <w:tab w:val="clear" w:pos="780"/>
        </w:tabs>
        <w:spacing w:line="240" w:lineRule="auto"/>
        <w:ind w:left="720"/>
        <w:rPr>
          <w:sz w:val="22"/>
          <w:szCs w:val="22"/>
        </w:rPr>
      </w:pPr>
      <w:r w:rsidRPr="00411B94">
        <w:rPr>
          <w:sz w:val="22"/>
          <w:szCs w:val="22"/>
        </w:rPr>
        <w:t>Their provision of supportive housing opportunities; or</w:t>
      </w:r>
    </w:p>
    <w:p w:rsidR="0038642C" w:rsidRPr="00411B94" w:rsidRDefault="0038642C" w:rsidP="00334A3C">
      <w:pPr>
        <w:numPr>
          <w:ilvl w:val="0"/>
          <w:numId w:val="30"/>
        </w:numPr>
        <w:tabs>
          <w:tab w:val="clear" w:pos="780"/>
        </w:tabs>
        <w:spacing w:line="240" w:lineRule="auto"/>
        <w:ind w:left="720"/>
        <w:rPr>
          <w:sz w:val="22"/>
          <w:szCs w:val="22"/>
        </w:rPr>
      </w:pPr>
      <w:r w:rsidRPr="00411B94">
        <w:rPr>
          <w:sz w:val="22"/>
          <w:szCs w:val="22"/>
        </w:rPr>
        <w:t>Community impact developments with mixed income (of at least 15</w:t>
      </w:r>
      <w:r w:rsidR="00896421" w:rsidRPr="00411B94">
        <w:rPr>
          <w:sz w:val="22"/>
          <w:szCs w:val="22"/>
        </w:rPr>
        <w:t xml:space="preserve"> percent</w:t>
      </w:r>
      <w:r w:rsidRPr="00411B94">
        <w:rPr>
          <w:sz w:val="22"/>
          <w:szCs w:val="22"/>
        </w:rPr>
        <w:t xml:space="preserve"> market rate units) or mixed use components (commercial space of at least 15</w:t>
      </w:r>
      <w:r w:rsidR="00896421" w:rsidRPr="00411B94">
        <w:rPr>
          <w:sz w:val="22"/>
          <w:szCs w:val="22"/>
        </w:rPr>
        <w:t xml:space="preserve"> percent</w:t>
      </w:r>
      <w:r w:rsidRPr="00411B94">
        <w:rPr>
          <w:sz w:val="22"/>
          <w:szCs w:val="22"/>
        </w:rPr>
        <w:t xml:space="preserve"> of the square footage of the development).</w:t>
      </w:r>
    </w:p>
    <w:p w:rsidR="00142D7F" w:rsidRPr="00411B94" w:rsidRDefault="00142D7F" w:rsidP="00142D7F">
      <w:pPr>
        <w:spacing w:line="240" w:lineRule="auto"/>
        <w:ind w:left="420"/>
        <w:rPr>
          <w:sz w:val="18"/>
          <w:szCs w:val="18"/>
        </w:rPr>
      </w:pPr>
    </w:p>
    <w:p w:rsidR="00983F36" w:rsidRDefault="00983F36" w:rsidP="00142D7F">
      <w:pPr>
        <w:spacing w:line="240" w:lineRule="auto"/>
        <w:ind w:left="420" w:firstLine="300"/>
        <w:rPr>
          <w:sz w:val="22"/>
          <w:szCs w:val="22"/>
        </w:rPr>
      </w:pPr>
      <w:r w:rsidRPr="00411B94">
        <w:rPr>
          <w:sz w:val="22"/>
          <w:szCs w:val="22"/>
        </w:rPr>
        <w:t>Applications for tax-exempt bond volume cap and the ass</w:t>
      </w:r>
      <w:r w:rsidR="00142D7F" w:rsidRPr="00411B94">
        <w:rPr>
          <w:sz w:val="22"/>
          <w:szCs w:val="22"/>
        </w:rPr>
        <w:t>ociated 4% Tax Credits are ineligible for the discretionary 30% boost of the eligible rehabilitation/new construction basis.</w:t>
      </w:r>
    </w:p>
    <w:p w:rsidR="00984420" w:rsidRPr="00411B94" w:rsidRDefault="00984420" w:rsidP="00142D7F">
      <w:pPr>
        <w:spacing w:line="240" w:lineRule="auto"/>
        <w:ind w:left="420" w:firstLine="300"/>
        <w:rPr>
          <w:sz w:val="22"/>
          <w:szCs w:val="22"/>
        </w:rPr>
      </w:pPr>
    </w:p>
    <w:p w:rsidR="006C1136" w:rsidRPr="00411B94" w:rsidRDefault="001562D5" w:rsidP="00E94493">
      <w:pPr>
        <w:spacing w:line="240" w:lineRule="auto"/>
        <w:ind w:firstLine="720"/>
        <w:jc w:val="center"/>
        <w:rPr>
          <w:b/>
          <w:sz w:val="22"/>
          <w:szCs w:val="22"/>
          <w:u w:val="single" w:color="000000"/>
        </w:rPr>
      </w:pPr>
      <w:r w:rsidRPr="00411B94">
        <w:rPr>
          <w:b/>
          <w:sz w:val="22"/>
          <w:szCs w:val="22"/>
          <w:u w:val="single" w:color="000000"/>
        </w:rPr>
        <w:t xml:space="preserve">APPLICATION </w:t>
      </w:r>
      <w:r w:rsidR="006C1136" w:rsidRPr="00411B94">
        <w:rPr>
          <w:b/>
          <w:sz w:val="22"/>
          <w:szCs w:val="22"/>
          <w:u w:val="single" w:color="000000"/>
        </w:rPr>
        <w:t>THRESHOLD CRITERIA</w:t>
      </w:r>
    </w:p>
    <w:p w:rsidR="006C1136" w:rsidRPr="00411B94" w:rsidRDefault="006C1136" w:rsidP="00E94493">
      <w:pPr>
        <w:spacing w:line="240" w:lineRule="auto"/>
        <w:ind w:firstLine="720"/>
        <w:jc w:val="center"/>
        <w:rPr>
          <w:b/>
          <w:sz w:val="22"/>
          <w:szCs w:val="22"/>
          <w:u w:val="single" w:color="FF0000"/>
        </w:rPr>
      </w:pPr>
    </w:p>
    <w:p w:rsidR="0034255D" w:rsidRPr="00411B94" w:rsidRDefault="00F54F78" w:rsidP="001B5101">
      <w:pPr>
        <w:pStyle w:val="Header"/>
        <w:tabs>
          <w:tab w:val="clear" w:pos="4320"/>
          <w:tab w:val="clear" w:pos="8640"/>
        </w:tabs>
        <w:spacing w:line="240" w:lineRule="auto"/>
        <w:ind w:left="360" w:firstLine="360"/>
        <w:rPr>
          <w:sz w:val="22"/>
          <w:szCs w:val="22"/>
          <w:u w:color="FF0000"/>
        </w:rPr>
      </w:pPr>
      <w:r w:rsidRPr="00411B94">
        <w:rPr>
          <w:sz w:val="22"/>
          <w:szCs w:val="22"/>
          <w:u w:color="FF0000"/>
        </w:rPr>
        <w:t>The Agency has determined that the following minimum development characteristics will be considered threshold criteria for all development</w:t>
      </w:r>
      <w:r w:rsidR="00BA11EA" w:rsidRPr="00411B94">
        <w:rPr>
          <w:sz w:val="22"/>
          <w:szCs w:val="22"/>
          <w:u w:color="FF0000"/>
        </w:rPr>
        <w:t>s</w:t>
      </w:r>
      <w:r w:rsidRPr="00411B94">
        <w:rPr>
          <w:sz w:val="22"/>
          <w:szCs w:val="22"/>
          <w:u w:color="FF0000"/>
        </w:rPr>
        <w:t xml:space="preserve"> seeking Tax Credits in </w:t>
      </w:r>
      <w:r w:rsidR="00AF1F86">
        <w:rPr>
          <w:sz w:val="22"/>
          <w:szCs w:val="22"/>
          <w:u w:color="FF0000"/>
        </w:rPr>
        <w:t>2016</w:t>
      </w:r>
      <w:r w:rsidRPr="00411B94">
        <w:rPr>
          <w:sz w:val="22"/>
          <w:szCs w:val="22"/>
          <w:u w:color="FF0000"/>
        </w:rPr>
        <w:t xml:space="preserve">.  The Agency may waive the requirement of a specific amenity </w:t>
      </w:r>
      <w:r w:rsidR="002857CF" w:rsidRPr="00411B94">
        <w:rPr>
          <w:sz w:val="22"/>
          <w:szCs w:val="22"/>
          <w:u w:color="FF0000"/>
        </w:rPr>
        <w:t xml:space="preserve">if compelling circumstances exist, or </w:t>
      </w:r>
      <w:r w:rsidRPr="00411B94">
        <w:rPr>
          <w:sz w:val="22"/>
          <w:szCs w:val="22"/>
          <w:u w:color="FF0000"/>
        </w:rPr>
        <w:t>if the inclusion of such amenity adversely affects the finan</w:t>
      </w:r>
      <w:r w:rsidR="005552BD" w:rsidRPr="00411B94">
        <w:rPr>
          <w:sz w:val="22"/>
          <w:szCs w:val="22"/>
          <w:u w:color="FF0000"/>
        </w:rPr>
        <w:t xml:space="preserve">cial feasibility of the development or if, due </w:t>
      </w:r>
      <w:r w:rsidR="008B0583" w:rsidRPr="00411B94">
        <w:rPr>
          <w:sz w:val="22"/>
          <w:szCs w:val="22"/>
          <w:u w:color="FF0000"/>
        </w:rPr>
        <w:t xml:space="preserve">to </w:t>
      </w:r>
      <w:r w:rsidR="005552BD" w:rsidRPr="00411B94">
        <w:rPr>
          <w:sz w:val="22"/>
          <w:szCs w:val="22"/>
          <w:u w:color="FF0000"/>
        </w:rPr>
        <w:t>the nature of the rehabilitation of the development, the inclusion of such amenity is cost prohibitive</w:t>
      </w:r>
      <w:r w:rsidRPr="00411B94">
        <w:rPr>
          <w:sz w:val="22"/>
          <w:szCs w:val="22"/>
          <w:u w:color="FF0000"/>
        </w:rPr>
        <w:t xml:space="preserve">. </w:t>
      </w:r>
      <w:r w:rsidR="0034255D" w:rsidRPr="00411B94">
        <w:rPr>
          <w:sz w:val="22"/>
          <w:szCs w:val="22"/>
          <w:u w:color="FF0000"/>
        </w:rPr>
        <w:t xml:space="preserve">The Agency will review the architectural documents submitted with the proposal to confirm the existence of the proposed amenities.  A certification from the design architect verifying the inclusion of the amenities in the development must be submitted with the Application. Confirmation from the construction contract administration architect is required with the submission of the cost certification documents.  For </w:t>
      </w:r>
      <w:r w:rsidR="00FC3265" w:rsidRPr="00411B94">
        <w:rPr>
          <w:sz w:val="22"/>
          <w:szCs w:val="22"/>
          <w:u w:color="FF0000"/>
        </w:rPr>
        <w:t>Applications</w:t>
      </w:r>
      <w:r w:rsidR="0034255D" w:rsidRPr="00411B94">
        <w:rPr>
          <w:sz w:val="22"/>
          <w:szCs w:val="22"/>
          <w:u w:color="FF0000"/>
        </w:rPr>
        <w:t xml:space="preserve"> not requiring the services of an architect, the certifications may be provided by the general contractor.  Amenities should be appropriate for the proposed resident population.  Verification of the availability of all amenities may be required by the Agency at any time and throughout the development’s compliance period.  </w:t>
      </w:r>
    </w:p>
    <w:p w:rsidR="00F54F78" w:rsidRPr="00411B94" w:rsidRDefault="00F54F78" w:rsidP="00E94493">
      <w:pPr>
        <w:spacing w:line="240" w:lineRule="auto"/>
        <w:ind w:left="360"/>
        <w:rPr>
          <w:sz w:val="22"/>
          <w:szCs w:val="22"/>
          <w:u w:color="FF0000"/>
        </w:rPr>
      </w:pPr>
    </w:p>
    <w:p w:rsidR="00CE0F08" w:rsidRPr="00411B94" w:rsidRDefault="00E31732" w:rsidP="00291655">
      <w:pPr>
        <w:spacing w:line="240" w:lineRule="auto"/>
        <w:ind w:left="810" w:hanging="450"/>
        <w:rPr>
          <w:sz w:val="22"/>
          <w:szCs w:val="22"/>
          <w:u w:color="FF0000"/>
        </w:rPr>
      </w:pPr>
      <w:r w:rsidRPr="00411B94">
        <w:rPr>
          <w:sz w:val="22"/>
          <w:szCs w:val="22"/>
          <w:u w:color="FF0000"/>
        </w:rPr>
        <w:t>1</w:t>
      </w:r>
      <w:r w:rsidR="00F54F78" w:rsidRPr="00411B94">
        <w:rPr>
          <w:sz w:val="22"/>
          <w:szCs w:val="22"/>
          <w:u w:color="FF0000"/>
        </w:rPr>
        <w:t>.</w:t>
      </w:r>
      <w:r w:rsidR="00F54F78" w:rsidRPr="00411B94">
        <w:rPr>
          <w:sz w:val="22"/>
          <w:szCs w:val="22"/>
          <w:u w:color="FF0000"/>
        </w:rPr>
        <w:tab/>
        <w:t>Development Amenities – The following Development Amenities must be included in the proposed development.</w:t>
      </w:r>
      <w:r w:rsidR="00784481" w:rsidRPr="00411B94">
        <w:rPr>
          <w:sz w:val="22"/>
          <w:szCs w:val="22"/>
          <w:u w:color="FF0000"/>
        </w:rPr>
        <w:t xml:space="preserve"> (Please note that</w:t>
      </w:r>
      <w:r w:rsidR="001D6E8D" w:rsidRPr="00411B94">
        <w:rPr>
          <w:sz w:val="22"/>
          <w:szCs w:val="22"/>
          <w:u w:color="FF0000"/>
        </w:rPr>
        <w:t xml:space="preserve"> </w:t>
      </w:r>
      <w:r w:rsidR="002E5C4B" w:rsidRPr="00411B94">
        <w:rPr>
          <w:sz w:val="22"/>
          <w:szCs w:val="22"/>
          <w:u w:color="FF0000"/>
        </w:rPr>
        <w:t xml:space="preserve">the </w:t>
      </w:r>
      <w:r w:rsidR="00FC3265" w:rsidRPr="00411B94">
        <w:rPr>
          <w:sz w:val="22"/>
          <w:szCs w:val="22"/>
          <w:u w:color="FF0000"/>
        </w:rPr>
        <w:t>A</w:t>
      </w:r>
      <w:r w:rsidR="002E5C4B" w:rsidRPr="00411B94">
        <w:rPr>
          <w:sz w:val="22"/>
          <w:szCs w:val="22"/>
          <w:u w:color="FF0000"/>
        </w:rPr>
        <w:t xml:space="preserve">pplicant should seek independent tax advice as </w:t>
      </w:r>
      <w:r w:rsidR="001D6E8D" w:rsidRPr="00411B94">
        <w:rPr>
          <w:sz w:val="22"/>
          <w:szCs w:val="22"/>
          <w:u w:color="FF0000"/>
        </w:rPr>
        <w:t xml:space="preserve">all of the costs of </w:t>
      </w:r>
      <w:r w:rsidR="002E5C4B" w:rsidRPr="00411B94">
        <w:rPr>
          <w:sz w:val="22"/>
          <w:szCs w:val="22"/>
          <w:u w:color="FF0000"/>
        </w:rPr>
        <w:t>the following amenities</w:t>
      </w:r>
      <w:r w:rsidR="00784481" w:rsidRPr="00411B94">
        <w:rPr>
          <w:sz w:val="22"/>
          <w:szCs w:val="22"/>
          <w:u w:color="FF0000"/>
        </w:rPr>
        <w:t xml:space="preserve"> may </w:t>
      </w:r>
      <w:r w:rsidR="00E8680B" w:rsidRPr="00411B94">
        <w:rPr>
          <w:sz w:val="22"/>
          <w:szCs w:val="22"/>
          <w:u w:color="FF0000"/>
        </w:rPr>
        <w:t xml:space="preserve">not </w:t>
      </w:r>
      <w:r w:rsidR="00784481" w:rsidRPr="00411B94">
        <w:rPr>
          <w:sz w:val="22"/>
          <w:szCs w:val="22"/>
          <w:u w:color="FF0000"/>
        </w:rPr>
        <w:t>be inclu</w:t>
      </w:r>
      <w:r w:rsidR="001D6E8D" w:rsidRPr="00411B94">
        <w:rPr>
          <w:sz w:val="22"/>
          <w:szCs w:val="22"/>
          <w:u w:color="FF0000"/>
        </w:rPr>
        <w:t>dible</w:t>
      </w:r>
      <w:r w:rsidR="00784481" w:rsidRPr="00411B94">
        <w:rPr>
          <w:sz w:val="22"/>
          <w:szCs w:val="22"/>
          <w:u w:color="FF0000"/>
        </w:rPr>
        <w:t xml:space="preserve"> in eligible basis.)</w:t>
      </w:r>
    </w:p>
    <w:p w:rsidR="00F54F78" w:rsidRPr="00411B94" w:rsidRDefault="00F54F78" w:rsidP="00E94493">
      <w:pPr>
        <w:spacing w:line="240" w:lineRule="auto"/>
        <w:ind w:left="1080" w:hanging="360"/>
        <w:rPr>
          <w:sz w:val="22"/>
          <w:szCs w:val="22"/>
          <w:u w:color="FF0000"/>
        </w:rPr>
      </w:pPr>
    </w:p>
    <w:p w:rsidR="00F54F78" w:rsidRPr="00411B94" w:rsidRDefault="00F54F78" w:rsidP="00E94493">
      <w:pPr>
        <w:numPr>
          <w:ilvl w:val="0"/>
          <w:numId w:val="17"/>
        </w:numPr>
        <w:tabs>
          <w:tab w:val="clear" w:pos="1080"/>
          <w:tab w:val="num" w:pos="1440"/>
        </w:tabs>
        <w:spacing w:before="120" w:line="240" w:lineRule="auto"/>
        <w:ind w:left="1440"/>
        <w:rPr>
          <w:sz w:val="22"/>
          <w:szCs w:val="22"/>
          <w:u w:color="FF0000"/>
        </w:rPr>
      </w:pPr>
      <w:r w:rsidRPr="00411B94">
        <w:rPr>
          <w:sz w:val="22"/>
          <w:szCs w:val="22"/>
          <w:u w:color="FF0000"/>
        </w:rPr>
        <w:t xml:space="preserve">On-site Community Room.  The community room must be one room and should be of sufficient size to accommodate the residents and services to be provided.  The community room in senior housing developments should include a kitchen or kitchenette that will be available to all residents.  </w:t>
      </w:r>
    </w:p>
    <w:p w:rsidR="00F54F78" w:rsidRPr="00411B94" w:rsidRDefault="00F54F78" w:rsidP="00E94493">
      <w:pPr>
        <w:numPr>
          <w:ilvl w:val="1"/>
          <w:numId w:val="17"/>
        </w:numPr>
        <w:spacing w:before="120" w:line="240" w:lineRule="auto"/>
        <w:rPr>
          <w:sz w:val="22"/>
          <w:szCs w:val="22"/>
          <w:u w:val="single"/>
        </w:rPr>
      </w:pPr>
      <w:r w:rsidRPr="00411B94">
        <w:rPr>
          <w:sz w:val="22"/>
          <w:szCs w:val="22"/>
          <w:u w:color="FF0000"/>
        </w:rPr>
        <w:t xml:space="preserve">An on-site community room will not be required for developments with 11 units or less or scattered site properties.  Applications which are </w:t>
      </w:r>
      <w:r w:rsidR="009B37A1" w:rsidRPr="00411B94">
        <w:rPr>
          <w:sz w:val="22"/>
          <w:szCs w:val="22"/>
          <w:u w:color="FF0000"/>
        </w:rPr>
        <w:t xml:space="preserve">a </w:t>
      </w:r>
      <w:r w:rsidRPr="00411B94">
        <w:rPr>
          <w:sz w:val="22"/>
          <w:szCs w:val="22"/>
          <w:u w:color="FF0000"/>
        </w:rPr>
        <w:t xml:space="preserve">continuation of a phased development </w:t>
      </w:r>
      <w:r w:rsidR="00EA1E9D" w:rsidRPr="00411B94">
        <w:rPr>
          <w:sz w:val="22"/>
          <w:szCs w:val="22"/>
          <w:u w:color="FF0000"/>
        </w:rPr>
        <w:t xml:space="preserve">(or </w:t>
      </w:r>
      <w:r w:rsidR="00AC644B" w:rsidRPr="00411B94">
        <w:rPr>
          <w:sz w:val="22"/>
          <w:szCs w:val="22"/>
          <w:u w:color="FF0000"/>
        </w:rPr>
        <w:t xml:space="preserve">are </w:t>
      </w:r>
      <w:r w:rsidR="00EA1E9D" w:rsidRPr="00411B94">
        <w:rPr>
          <w:sz w:val="22"/>
          <w:szCs w:val="22"/>
          <w:u w:color="FF0000"/>
        </w:rPr>
        <w:t xml:space="preserve">adjacent to an existing affordable housing property serving the same targeted population group) </w:t>
      </w:r>
      <w:r w:rsidRPr="00411B94">
        <w:rPr>
          <w:sz w:val="22"/>
          <w:szCs w:val="22"/>
          <w:u w:color="FF0000"/>
        </w:rPr>
        <w:t xml:space="preserve">will be required to provide space sufficient to meet the size requirements below </w:t>
      </w:r>
      <w:r w:rsidR="002E5C4B" w:rsidRPr="00411B94">
        <w:rPr>
          <w:sz w:val="22"/>
          <w:szCs w:val="22"/>
          <w:u w:color="FF0000"/>
        </w:rPr>
        <w:t xml:space="preserve">based on the aggregate of the number of units in all </w:t>
      </w:r>
      <w:r w:rsidRPr="00411B94">
        <w:rPr>
          <w:sz w:val="22"/>
          <w:szCs w:val="22"/>
          <w:u w:color="FF0000"/>
        </w:rPr>
        <w:t>phases.</w:t>
      </w:r>
      <w:r w:rsidR="00C17DCE" w:rsidRPr="00411B94">
        <w:rPr>
          <w:sz w:val="22"/>
          <w:szCs w:val="22"/>
          <w:u w:color="FF0000"/>
        </w:rPr>
        <w:t xml:space="preserve"> (For </w:t>
      </w:r>
      <w:r w:rsidR="00C762F7" w:rsidRPr="00411B94">
        <w:rPr>
          <w:sz w:val="22"/>
          <w:szCs w:val="22"/>
          <w:u w:color="FF0000"/>
        </w:rPr>
        <w:t xml:space="preserve">the cost of </w:t>
      </w:r>
      <w:r w:rsidR="00C17DCE" w:rsidRPr="00411B94">
        <w:rPr>
          <w:sz w:val="22"/>
          <w:szCs w:val="22"/>
          <w:u w:color="FF0000"/>
        </w:rPr>
        <w:t xml:space="preserve">a community room or building </w:t>
      </w:r>
      <w:r w:rsidR="00C762F7" w:rsidRPr="00411B94">
        <w:rPr>
          <w:sz w:val="22"/>
          <w:szCs w:val="22"/>
          <w:u w:color="FF0000"/>
        </w:rPr>
        <w:t xml:space="preserve">that is shared with the tenants of multiple phases to be included in Tax Credit eligible basis, it must qualify </w:t>
      </w:r>
      <w:r w:rsidR="00506395" w:rsidRPr="00411B94">
        <w:rPr>
          <w:sz w:val="22"/>
          <w:szCs w:val="22"/>
          <w:u w:color="FF0000"/>
        </w:rPr>
        <w:t xml:space="preserve">as a community service facility.  </w:t>
      </w:r>
      <w:r w:rsidR="00C762F7" w:rsidRPr="00411B94">
        <w:rPr>
          <w:sz w:val="22"/>
          <w:szCs w:val="22"/>
          <w:u w:color="FF0000"/>
        </w:rPr>
        <w:t>Please consult with an accountant or attorney experienced in Section 42 issues for additional information regarding this issue.)</w:t>
      </w:r>
      <w:r w:rsidR="00D45B92" w:rsidRPr="00411B94">
        <w:rPr>
          <w:sz w:val="22"/>
          <w:szCs w:val="22"/>
          <w:u w:color="FF0000"/>
        </w:rPr>
        <w:t xml:space="preserve"> </w:t>
      </w:r>
      <w:r w:rsidR="00D45B92" w:rsidRPr="00411B94">
        <w:rPr>
          <w:sz w:val="22"/>
          <w:szCs w:val="22"/>
        </w:rPr>
        <w:t xml:space="preserve">The Agency may consider a long term agreement with an existing community facility within </w:t>
      </w:r>
      <w:r w:rsidR="007A7668" w:rsidRPr="00411B94">
        <w:rPr>
          <w:sz w:val="22"/>
          <w:szCs w:val="22"/>
        </w:rPr>
        <w:t>walking</w:t>
      </w:r>
      <w:r w:rsidR="00D45B92" w:rsidRPr="00411B94">
        <w:rPr>
          <w:sz w:val="22"/>
          <w:szCs w:val="22"/>
        </w:rPr>
        <w:t xml:space="preserve"> distance from the development as evidence of meeting this requirement.</w:t>
      </w:r>
    </w:p>
    <w:p w:rsidR="00F54F78" w:rsidRPr="00E909B5" w:rsidRDefault="00F54F78" w:rsidP="00E94493">
      <w:pPr>
        <w:numPr>
          <w:ilvl w:val="1"/>
          <w:numId w:val="17"/>
        </w:numPr>
        <w:spacing w:before="120" w:line="240" w:lineRule="auto"/>
        <w:rPr>
          <w:u w:color="FF0000"/>
        </w:rPr>
      </w:pPr>
      <w:r w:rsidRPr="00411B94">
        <w:rPr>
          <w:sz w:val="22"/>
          <w:szCs w:val="22"/>
          <w:u w:color="FF0000"/>
        </w:rPr>
        <w:t xml:space="preserve">The community room should contain at least 15 net square feet </w:t>
      </w:r>
      <w:r w:rsidR="004D5511" w:rsidRPr="00411B94">
        <w:rPr>
          <w:sz w:val="22"/>
          <w:szCs w:val="22"/>
          <w:u w:color="FF0000"/>
        </w:rPr>
        <w:t xml:space="preserve">per unit </w:t>
      </w:r>
      <w:r w:rsidRPr="00411B94">
        <w:rPr>
          <w:sz w:val="22"/>
          <w:szCs w:val="22"/>
          <w:u w:color="FF0000"/>
        </w:rPr>
        <w:t>for properties between 12 and 50 units</w:t>
      </w:r>
      <w:r w:rsidR="00BA11EA" w:rsidRPr="00411B94">
        <w:rPr>
          <w:sz w:val="22"/>
          <w:szCs w:val="22"/>
          <w:u w:color="FF0000"/>
        </w:rPr>
        <w:t>.  Community rooms in developments with more than 50 units should be at least 750 square feet in size.</w:t>
      </w:r>
      <w:r w:rsidR="002857CF" w:rsidRPr="00411B94">
        <w:rPr>
          <w:sz w:val="22"/>
          <w:szCs w:val="22"/>
          <w:u w:color="FF0000"/>
        </w:rPr>
        <w:t xml:space="preserve"> The square footage required shall be in addition to the kitchen or kitchenette, where provided.</w:t>
      </w:r>
    </w:p>
    <w:p w:rsidR="00F54F78" w:rsidRPr="00E909B5" w:rsidRDefault="00F54F78" w:rsidP="00D30794">
      <w:pPr>
        <w:spacing w:before="120" w:line="240" w:lineRule="auto"/>
      </w:pPr>
    </w:p>
    <w:p w:rsidR="00F4219B" w:rsidRPr="00411B94" w:rsidRDefault="00F54F78" w:rsidP="00F4219B">
      <w:pPr>
        <w:numPr>
          <w:ilvl w:val="0"/>
          <w:numId w:val="17"/>
        </w:numPr>
        <w:tabs>
          <w:tab w:val="clear" w:pos="1080"/>
          <w:tab w:val="num" w:pos="1440"/>
        </w:tabs>
        <w:spacing w:line="240" w:lineRule="auto"/>
        <w:ind w:left="1440"/>
        <w:rPr>
          <w:sz w:val="22"/>
          <w:szCs w:val="22"/>
          <w:u w:color="FF0000"/>
        </w:rPr>
      </w:pPr>
      <w:r w:rsidRPr="00411B94">
        <w:rPr>
          <w:sz w:val="22"/>
          <w:szCs w:val="22"/>
          <w:u w:color="FF0000"/>
        </w:rPr>
        <w:t xml:space="preserve">Laundry Facilities.  Common laundry facilities or the </w:t>
      </w:r>
      <w:r w:rsidR="00C762F7" w:rsidRPr="00411B94">
        <w:rPr>
          <w:sz w:val="22"/>
          <w:szCs w:val="22"/>
          <w:u w:color="FF0000"/>
        </w:rPr>
        <w:t xml:space="preserve">provision </w:t>
      </w:r>
      <w:r w:rsidRPr="00411B94">
        <w:rPr>
          <w:sz w:val="22"/>
          <w:szCs w:val="22"/>
          <w:u w:color="FF0000"/>
        </w:rPr>
        <w:t>of individual washers and dryers in each unit</w:t>
      </w:r>
      <w:r w:rsidR="00BA11EA" w:rsidRPr="00411B94">
        <w:rPr>
          <w:sz w:val="22"/>
          <w:szCs w:val="22"/>
          <w:u w:color="FF0000"/>
        </w:rPr>
        <w:t xml:space="preserve"> are required</w:t>
      </w:r>
      <w:r w:rsidRPr="00411B94">
        <w:rPr>
          <w:sz w:val="22"/>
          <w:szCs w:val="22"/>
        </w:rPr>
        <w:t xml:space="preserve">.  </w:t>
      </w:r>
      <w:r w:rsidR="0033483E" w:rsidRPr="00411B94">
        <w:rPr>
          <w:sz w:val="22"/>
          <w:szCs w:val="22"/>
        </w:rPr>
        <w:t xml:space="preserve">If a common laundry is provided in a development </w:t>
      </w:r>
      <w:r w:rsidR="0091665D" w:rsidRPr="00411B94">
        <w:rPr>
          <w:sz w:val="22"/>
          <w:szCs w:val="22"/>
        </w:rPr>
        <w:t xml:space="preserve">that </w:t>
      </w:r>
      <w:r w:rsidR="0033483E" w:rsidRPr="00411B94">
        <w:rPr>
          <w:sz w:val="22"/>
          <w:szCs w:val="22"/>
        </w:rPr>
        <w:t>will be converted to homeownership</w:t>
      </w:r>
      <w:r w:rsidR="0091665D" w:rsidRPr="00411B94">
        <w:rPr>
          <w:sz w:val="22"/>
          <w:szCs w:val="22"/>
        </w:rPr>
        <w:t xml:space="preserve">, hook-ups for a washer and dryer must be provided in each unit.  </w:t>
      </w:r>
      <w:r w:rsidRPr="00411B94">
        <w:rPr>
          <w:sz w:val="22"/>
          <w:szCs w:val="22"/>
          <w:u w:color="FF0000"/>
        </w:rPr>
        <w:t>If the development contains a common laundry faci</w:t>
      </w:r>
      <w:r w:rsidR="00036411" w:rsidRPr="00411B94">
        <w:rPr>
          <w:sz w:val="22"/>
          <w:szCs w:val="22"/>
          <w:u w:color="FF0000"/>
        </w:rPr>
        <w:t xml:space="preserve">lity, the following requirements </w:t>
      </w:r>
      <w:r w:rsidRPr="00411B94">
        <w:rPr>
          <w:sz w:val="22"/>
          <w:szCs w:val="22"/>
          <w:u w:color="FF0000"/>
        </w:rPr>
        <w:t>must be met:</w:t>
      </w:r>
    </w:p>
    <w:p w:rsidR="00F955ED" w:rsidRPr="00411B94" w:rsidRDefault="00F955ED" w:rsidP="00F955ED">
      <w:pPr>
        <w:spacing w:line="240" w:lineRule="auto"/>
        <w:ind w:left="1080"/>
        <w:rPr>
          <w:sz w:val="22"/>
          <w:szCs w:val="22"/>
          <w:u w:color="FF0000"/>
        </w:rPr>
      </w:pPr>
    </w:p>
    <w:p w:rsidR="00F54F78" w:rsidRPr="00411B94" w:rsidRDefault="00F54F78" w:rsidP="00E94493">
      <w:pPr>
        <w:numPr>
          <w:ilvl w:val="1"/>
          <w:numId w:val="17"/>
        </w:numPr>
        <w:spacing w:line="240" w:lineRule="auto"/>
        <w:rPr>
          <w:sz w:val="22"/>
          <w:szCs w:val="22"/>
          <w:u w:color="FF0000"/>
        </w:rPr>
      </w:pPr>
      <w:r w:rsidRPr="00411B94">
        <w:rPr>
          <w:sz w:val="22"/>
          <w:szCs w:val="22"/>
          <w:u w:color="FF0000"/>
        </w:rPr>
        <w:t>For general occupancy developments:  one washer and dryer per 12 units, with a minimum of two washers and two dryers required</w:t>
      </w:r>
      <w:r w:rsidR="002857CF" w:rsidRPr="00411B94">
        <w:rPr>
          <w:sz w:val="22"/>
          <w:szCs w:val="22"/>
          <w:u w:color="FF0000"/>
        </w:rPr>
        <w:t xml:space="preserve"> at each laundry facility</w:t>
      </w:r>
      <w:r w:rsidRPr="00411B94">
        <w:rPr>
          <w:sz w:val="22"/>
          <w:szCs w:val="22"/>
          <w:u w:color="FF0000"/>
        </w:rPr>
        <w:t>.</w:t>
      </w:r>
    </w:p>
    <w:p w:rsidR="00F54F78" w:rsidRPr="00411B94" w:rsidRDefault="00F54F78" w:rsidP="00E94493">
      <w:pPr>
        <w:numPr>
          <w:ilvl w:val="1"/>
          <w:numId w:val="17"/>
        </w:numPr>
        <w:spacing w:line="240" w:lineRule="auto"/>
        <w:rPr>
          <w:sz w:val="22"/>
          <w:szCs w:val="22"/>
          <w:u w:color="FF0000"/>
        </w:rPr>
      </w:pPr>
      <w:r w:rsidRPr="00411B94">
        <w:rPr>
          <w:sz w:val="22"/>
          <w:szCs w:val="22"/>
          <w:u w:color="FF0000"/>
        </w:rPr>
        <w:t>For elderly development</w:t>
      </w:r>
      <w:r w:rsidR="009B37A1" w:rsidRPr="00411B94">
        <w:rPr>
          <w:sz w:val="22"/>
          <w:szCs w:val="22"/>
          <w:u w:color="FF0000"/>
        </w:rPr>
        <w:t>s</w:t>
      </w:r>
      <w:r w:rsidRPr="00411B94">
        <w:rPr>
          <w:sz w:val="22"/>
          <w:szCs w:val="22"/>
          <w:u w:color="FF0000"/>
        </w:rPr>
        <w:t>:  one washer and dryer per 20 units, with a minimum of two washers and two dryers required</w:t>
      </w:r>
      <w:r w:rsidR="002857CF" w:rsidRPr="00411B94">
        <w:rPr>
          <w:sz w:val="22"/>
          <w:szCs w:val="22"/>
          <w:u w:color="FF0000"/>
        </w:rPr>
        <w:t xml:space="preserve"> at each laundry facility</w:t>
      </w:r>
      <w:r w:rsidRPr="00411B94">
        <w:rPr>
          <w:sz w:val="22"/>
          <w:szCs w:val="22"/>
          <w:u w:color="FF0000"/>
        </w:rPr>
        <w:t>.</w:t>
      </w:r>
    </w:p>
    <w:p w:rsidR="00F54F78" w:rsidRPr="00411B94" w:rsidRDefault="00F54F78" w:rsidP="00E94493">
      <w:pPr>
        <w:numPr>
          <w:ilvl w:val="1"/>
          <w:numId w:val="17"/>
        </w:numPr>
        <w:spacing w:line="240" w:lineRule="auto"/>
        <w:rPr>
          <w:sz w:val="22"/>
          <w:szCs w:val="22"/>
          <w:u w:color="FF0000"/>
        </w:rPr>
      </w:pPr>
      <w:r w:rsidRPr="00411B94">
        <w:rPr>
          <w:sz w:val="22"/>
          <w:szCs w:val="22"/>
          <w:u w:color="FF0000"/>
        </w:rPr>
        <w:t xml:space="preserve">A minimum of one front load washer and dryer is required for each laundry facility and will be required in accessible units containing </w:t>
      </w:r>
      <w:r w:rsidR="00277FED" w:rsidRPr="00411B94">
        <w:rPr>
          <w:sz w:val="22"/>
          <w:szCs w:val="22"/>
          <w:u w:color="FF0000"/>
        </w:rPr>
        <w:t xml:space="preserve">a </w:t>
      </w:r>
      <w:r w:rsidRPr="00411B94">
        <w:rPr>
          <w:sz w:val="22"/>
          <w:szCs w:val="22"/>
          <w:u w:color="FF0000"/>
        </w:rPr>
        <w:t>washer and dryer in the unit.</w:t>
      </w:r>
    </w:p>
    <w:p w:rsidR="001A5DBA" w:rsidRDefault="001A5DBA" w:rsidP="00E94493">
      <w:pPr>
        <w:numPr>
          <w:ilvl w:val="1"/>
          <w:numId w:val="17"/>
        </w:numPr>
        <w:spacing w:line="240" w:lineRule="auto"/>
        <w:rPr>
          <w:sz w:val="22"/>
          <w:szCs w:val="22"/>
          <w:u w:color="FF0000"/>
        </w:rPr>
      </w:pPr>
      <w:r w:rsidRPr="00411B94">
        <w:rPr>
          <w:sz w:val="22"/>
          <w:szCs w:val="22"/>
          <w:u w:color="FF0000"/>
        </w:rPr>
        <w:t>All washing machines, whether development owned or vendor owned, must be Energy Star</w:t>
      </w:r>
      <w:r w:rsidR="00896421" w:rsidRPr="00411B94">
        <w:rPr>
          <w:sz w:val="22"/>
          <w:szCs w:val="22"/>
          <w:u w:color="FF0000"/>
        </w:rPr>
        <w:t>®</w:t>
      </w:r>
      <w:r w:rsidRPr="00411B94">
        <w:rPr>
          <w:sz w:val="22"/>
          <w:szCs w:val="22"/>
          <w:u w:color="FF0000"/>
        </w:rPr>
        <w:t xml:space="preserve"> labeled. </w:t>
      </w:r>
    </w:p>
    <w:p w:rsidR="00793F44" w:rsidRPr="00411B94" w:rsidRDefault="00793F44" w:rsidP="00793F44">
      <w:pPr>
        <w:spacing w:line="240" w:lineRule="auto"/>
        <w:ind w:left="1440"/>
        <w:rPr>
          <w:sz w:val="22"/>
          <w:szCs w:val="22"/>
          <w:u w:color="FF0000"/>
        </w:rPr>
      </w:pPr>
    </w:p>
    <w:p w:rsidR="00F4219B" w:rsidRDefault="00F54F78" w:rsidP="00F4219B">
      <w:pPr>
        <w:pStyle w:val="Header"/>
        <w:numPr>
          <w:ilvl w:val="0"/>
          <w:numId w:val="1"/>
        </w:numPr>
        <w:tabs>
          <w:tab w:val="clear" w:pos="360"/>
          <w:tab w:val="clear" w:pos="4320"/>
          <w:tab w:val="clear" w:pos="8640"/>
          <w:tab w:val="num" w:pos="720"/>
          <w:tab w:val="num" w:pos="1440"/>
        </w:tabs>
        <w:spacing w:line="240" w:lineRule="auto"/>
        <w:ind w:left="1440"/>
        <w:rPr>
          <w:sz w:val="22"/>
          <w:szCs w:val="22"/>
          <w:u w:color="FF0000"/>
        </w:rPr>
      </w:pPr>
      <w:r w:rsidRPr="00411B94">
        <w:rPr>
          <w:sz w:val="22"/>
          <w:szCs w:val="22"/>
          <w:u w:color="FF0000"/>
        </w:rPr>
        <w:t xml:space="preserve">Air Conditioning.  For new construction or substantial rehabilitation developments, all common spaces </w:t>
      </w:r>
      <w:r w:rsidR="00997179" w:rsidRPr="00411B94">
        <w:rPr>
          <w:sz w:val="22"/>
          <w:szCs w:val="22"/>
          <w:u w:color="FF0000"/>
        </w:rPr>
        <w:t>(except stair towers, mechanical rooms and storage rooms</w:t>
      </w:r>
      <w:r w:rsidR="00997179">
        <w:rPr>
          <w:sz w:val="22"/>
          <w:szCs w:val="22"/>
          <w:u w:color="FF0000"/>
        </w:rPr>
        <w:t>)</w:t>
      </w:r>
      <w:r w:rsidR="00997179" w:rsidRPr="00411B94">
        <w:rPr>
          <w:sz w:val="22"/>
          <w:szCs w:val="22"/>
          <w:u w:color="FF0000"/>
        </w:rPr>
        <w:t xml:space="preserve"> </w:t>
      </w:r>
      <w:r w:rsidRPr="00411B94">
        <w:rPr>
          <w:sz w:val="22"/>
          <w:szCs w:val="22"/>
          <w:u w:color="FF0000"/>
        </w:rPr>
        <w:t>must be air c</w:t>
      </w:r>
      <w:r w:rsidR="00F65AB5" w:rsidRPr="00411B94">
        <w:rPr>
          <w:sz w:val="22"/>
          <w:szCs w:val="22"/>
          <w:u w:color="FF0000"/>
        </w:rPr>
        <w:t>onditioned</w:t>
      </w:r>
      <w:r w:rsidRPr="00411B94">
        <w:rPr>
          <w:sz w:val="22"/>
          <w:szCs w:val="22"/>
          <w:u w:color="FF0000"/>
        </w:rPr>
        <w:t>.</w:t>
      </w:r>
      <w:r w:rsidRPr="00411B94">
        <w:rPr>
          <w:sz w:val="22"/>
          <w:szCs w:val="22"/>
          <w:u w:color="FF0000"/>
        </w:rPr>
        <w:tab/>
      </w:r>
    </w:p>
    <w:p w:rsidR="00793F44" w:rsidRPr="00411B94" w:rsidRDefault="00793F44" w:rsidP="00793F44">
      <w:pPr>
        <w:pStyle w:val="Header"/>
        <w:tabs>
          <w:tab w:val="clear" w:pos="4320"/>
          <w:tab w:val="clear" w:pos="8640"/>
          <w:tab w:val="num" w:pos="1440"/>
        </w:tabs>
        <w:spacing w:line="240" w:lineRule="auto"/>
        <w:ind w:left="1080"/>
        <w:rPr>
          <w:sz w:val="22"/>
          <w:szCs w:val="22"/>
          <w:u w:color="FF0000"/>
        </w:rPr>
      </w:pPr>
    </w:p>
    <w:p w:rsidR="00F54F78" w:rsidRPr="00411B94" w:rsidRDefault="00F54F78" w:rsidP="008B0583">
      <w:pPr>
        <w:numPr>
          <w:ilvl w:val="0"/>
          <w:numId w:val="26"/>
        </w:numPr>
        <w:spacing w:line="240" w:lineRule="auto"/>
        <w:rPr>
          <w:sz w:val="22"/>
          <w:szCs w:val="22"/>
          <w:u w:color="FF0000"/>
        </w:rPr>
      </w:pPr>
      <w:r w:rsidRPr="00411B94">
        <w:rPr>
          <w:sz w:val="22"/>
          <w:szCs w:val="22"/>
          <w:u w:color="FF0000"/>
        </w:rPr>
        <w:t xml:space="preserve">Preservation or moderate rehabilitation properties may be required to include air conditioning as part of the proposal if financially feasible and deemed reasonable by the Agency.  </w:t>
      </w:r>
    </w:p>
    <w:p w:rsidR="00F54F78" w:rsidRPr="00411B94" w:rsidRDefault="00F54F78" w:rsidP="00D30794">
      <w:pPr>
        <w:pStyle w:val="Header"/>
        <w:tabs>
          <w:tab w:val="clear" w:pos="4320"/>
          <w:tab w:val="clear" w:pos="8640"/>
          <w:tab w:val="num" w:pos="1440"/>
        </w:tabs>
        <w:spacing w:line="240" w:lineRule="auto"/>
        <w:rPr>
          <w:sz w:val="20"/>
          <w:u w:color="FF0000"/>
        </w:rPr>
      </w:pPr>
    </w:p>
    <w:p w:rsidR="00F54F78" w:rsidRPr="00411B94" w:rsidRDefault="00F54F78" w:rsidP="00E94493">
      <w:pPr>
        <w:numPr>
          <w:ilvl w:val="0"/>
          <w:numId w:val="1"/>
        </w:numPr>
        <w:tabs>
          <w:tab w:val="clear" w:pos="360"/>
        </w:tabs>
        <w:spacing w:line="240" w:lineRule="auto"/>
        <w:ind w:left="1440"/>
        <w:rPr>
          <w:sz w:val="22"/>
          <w:szCs w:val="22"/>
          <w:u w:color="FF0000"/>
        </w:rPr>
      </w:pPr>
      <w:r w:rsidRPr="00411B94">
        <w:rPr>
          <w:sz w:val="22"/>
          <w:szCs w:val="22"/>
          <w:u w:color="FF0000"/>
        </w:rPr>
        <w:t xml:space="preserve">On-site Management Office. An on-site management office will be required for all developments except those containing 11 units or less or scattered site properties.  Applications which are a continuation of a phased development with a total of more than 11 units </w:t>
      </w:r>
      <w:r w:rsidR="00BC6154" w:rsidRPr="00411B94">
        <w:rPr>
          <w:sz w:val="22"/>
          <w:szCs w:val="22"/>
          <w:u w:color="FF0000"/>
        </w:rPr>
        <w:t xml:space="preserve">that do not include a management office in the current Application </w:t>
      </w:r>
      <w:r w:rsidRPr="00411B94">
        <w:rPr>
          <w:sz w:val="22"/>
          <w:szCs w:val="22"/>
          <w:u w:color="FF0000"/>
        </w:rPr>
        <w:t xml:space="preserve">will be required to provide </w:t>
      </w:r>
      <w:r w:rsidR="0090193D" w:rsidRPr="00411B94">
        <w:rPr>
          <w:sz w:val="22"/>
          <w:szCs w:val="22"/>
          <w:u w:color="FF0000"/>
        </w:rPr>
        <w:t xml:space="preserve">evidence of </w:t>
      </w:r>
      <w:r w:rsidRPr="00411B94">
        <w:rPr>
          <w:sz w:val="22"/>
          <w:szCs w:val="22"/>
          <w:u w:color="FF0000"/>
        </w:rPr>
        <w:t xml:space="preserve">a management office in one of the </w:t>
      </w:r>
      <w:r w:rsidR="0090193D" w:rsidRPr="00411B94">
        <w:rPr>
          <w:sz w:val="22"/>
          <w:szCs w:val="22"/>
          <w:u w:color="FF0000"/>
        </w:rPr>
        <w:t xml:space="preserve">prior </w:t>
      </w:r>
      <w:r w:rsidRPr="00411B94">
        <w:rPr>
          <w:sz w:val="22"/>
          <w:szCs w:val="22"/>
          <w:u w:color="FF0000"/>
        </w:rPr>
        <w:t>phases.</w:t>
      </w:r>
    </w:p>
    <w:p w:rsidR="00F54F78" w:rsidRPr="00411B94" w:rsidRDefault="00F54F78" w:rsidP="00E94493">
      <w:pPr>
        <w:spacing w:line="240" w:lineRule="auto"/>
        <w:rPr>
          <w:u w:color="FF0000"/>
        </w:rPr>
      </w:pPr>
    </w:p>
    <w:p w:rsidR="00F54F78" w:rsidRPr="00411B94" w:rsidRDefault="00E31732" w:rsidP="00E94493">
      <w:pPr>
        <w:pStyle w:val="Header"/>
        <w:tabs>
          <w:tab w:val="clear" w:pos="4320"/>
          <w:tab w:val="clear" w:pos="8640"/>
        </w:tabs>
        <w:spacing w:after="120" w:line="240" w:lineRule="auto"/>
        <w:ind w:left="720" w:hanging="360"/>
        <w:rPr>
          <w:sz w:val="22"/>
          <w:szCs w:val="22"/>
          <w:u w:color="FF0000"/>
        </w:rPr>
      </w:pPr>
      <w:r w:rsidRPr="00411B94">
        <w:rPr>
          <w:sz w:val="22"/>
          <w:szCs w:val="22"/>
          <w:u w:color="FF0000"/>
        </w:rPr>
        <w:t>2</w:t>
      </w:r>
      <w:r w:rsidR="00F54F78" w:rsidRPr="00411B94">
        <w:rPr>
          <w:sz w:val="22"/>
          <w:szCs w:val="22"/>
          <w:u w:color="FF0000"/>
        </w:rPr>
        <w:t xml:space="preserve">. </w:t>
      </w:r>
      <w:r w:rsidR="00F54F78" w:rsidRPr="00411B94">
        <w:rPr>
          <w:sz w:val="22"/>
          <w:szCs w:val="22"/>
          <w:u w:color="FF0000"/>
        </w:rPr>
        <w:tab/>
        <w:t xml:space="preserve">Unit Amenities – </w:t>
      </w:r>
      <w:r w:rsidR="007F53BA" w:rsidRPr="00411B94">
        <w:rPr>
          <w:sz w:val="22"/>
          <w:szCs w:val="22"/>
          <w:u w:color="FF0000"/>
        </w:rPr>
        <w:t xml:space="preserve">The following Unit Amenities must be included in the proposed development. </w:t>
      </w:r>
    </w:p>
    <w:p w:rsidR="00793F44" w:rsidRDefault="00F54F78" w:rsidP="00334A3C">
      <w:pPr>
        <w:widowControl/>
        <w:numPr>
          <w:ilvl w:val="0"/>
          <w:numId w:val="20"/>
        </w:numPr>
        <w:adjustRightInd/>
        <w:spacing w:before="120" w:line="240" w:lineRule="auto"/>
        <w:textAlignment w:val="auto"/>
        <w:rPr>
          <w:sz w:val="22"/>
          <w:szCs w:val="22"/>
          <w:u w:color="FF0000"/>
        </w:rPr>
      </w:pPr>
      <w:r w:rsidRPr="00411B94">
        <w:rPr>
          <w:sz w:val="22"/>
          <w:szCs w:val="22"/>
          <w:u w:color="FF0000"/>
        </w:rPr>
        <w:t xml:space="preserve">The net area of all dwelling units must fall within the limits listed below. (Net area is measured from the interior finish surface of the unit perimeter walls, and shall include all rooms, corridors, </w:t>
      </w:r>
      <w:r w:rsidR="00B00B60" w:rsidRPr="00411B94">
        <w:rPr>
          <w:sz w:val="22"/>
          <w:szCs w:val="22"/>
          <w:u w:color="FF0000"/>
        </w:rPr>
        <w:t xml:space="preserve">interior </w:t>
      </w:r>
      <w:r w:rsidRPr="00411B94">
        <w:rPr>
          <w:sz w:val="22"/>
          <w:szCs w:val="22"/>
          <w:u w:color="FF0000"/>
        </w:rPr>
        <w:t>walls, storage areas, and mechanical spaces</w:t>
      </w:r>
      <w:r w:rsidR="00277FED" w:rsidRPr="00411B94">
        <w:rPr>
          <w:sz w:val="22"/>
          <w:szCs w:val="22"/>
          <w:u w:color="FF0000"/>
        </w:rPr>
        <w:t>.</w:t>
      </w:r>
      <w:r w:rsidRPr="00411B94">
        <w:rPr>
          <w:sz w:val="22"/>
          <w:szCs w:val="22"/>
          <w:u w:color="FF0000"/>
        </w:rPr>
        <w:t>)</w:t>
      </w:r>
      <w:r w:rsidR="001A6610" w:rsidRPr="00411B94">
        <w:rPr>
          <w:sz w:val="22"/>
          <w:szCs w:val="22"/>
          <w:u w:color="FF0000"/>
        </w:rPr>
        <w:t xml:space="preserve"> </w:t>
      </w:r>
      <w:r w:rsidRPr="00411B94">
        <w:rPr>
          <w:sz w:val="22"/>
          <w:szCs w:val="22"/>
          <w:u w:color="FF0000"/>
        </w:rPr>
        <w:t xml:space="preserve"> Rehabilitation developments may vary from the maximums</w:t>
      </w:r>
      <w:r w:rsidR="000C63EC" w:rsidRPr="00411B94">
        <w:rPr>
          <w:sz w:val="22"/>
          <w:szCs w:val="22"/>
          <w:u w:color="FF0000"/>
        </w:rPr>
        <w:t xml:space="preserve"> and minimums</w:t>
      </w:r>
      <w:r w:rsidRPr="00411B94">
        <w:rPr>
          <w:sz w:val="22"/>
          <w:szCs w:val="22"/>
          <w:u w:color="FF0000"/>
        </w:rPr>
        <w:t xml:space="preserve"> by 10</w:t>
      </w:r>
      <w:r w:rsidR="00896421" w:rsidRPr="00411B94">
        <w:rPr>
          <w:sz w:val="22"/>
          <w:szCs w:val="22"/>
          <w:u w:color="FF0000"/>
        </w:rPr>
        <w:t xml:space="preserve"> percent</w:t>
      </w:r>
      <w:r w:rsidRPr="00411B94">
        <w:rPr>
          <w:sz w:val="22"/>
          <w:szCs w:val="22"/>
          <w:u w:color="FF0000"/>
        </w:rPr>
        <w:t xml:space="preserve">.  </w:t>
      </w:r>
      <w:r w:rsidR="00917380" w:rsidRPr="00411B94">
        <w:rPr>
          <w:sz w:val="22"/>
          <w:szCs w:val="22"/>
          <w:u w:color="FF0000"/>
        </w:rPr>
        <w:t xml:space="preserve">Preservation developments shall strive, but are not </w:t>
      </w:r>
      <w:r w:rsidR="00917380" w:rsidRPr="00411B94">
        <w:rPr>
          <w:sz w:val="22"/>
          <w:szCs w:val="22"/>
          <w:u w:color="FF0000"/>
        </w:rPr>
        <w:lastRenderedPageBreak/>
        <w:t xml:space="preserve">required, to meet this requirement.  </w:t>
      </w:r>
      <w:r w:rsidRPr="00411B94">
        <w:rPr>
          <w:sz w:val="22"/>
          <w:szCs w:val="22"/>
          <w:u w:color="FF0000"/>
        </w:rPr>
        <w:t>Accessible units may vary from the maximums as required to provide an accessible route and accessible clearances.</w:t>
      </w:r>
      <w:r w:rsidR="00E32142" w:rsidRPr="00411B94">
        <w:rPr>
          <w:sz w:val="22"/>
          <w:szCs w:val="22"/>
          <w:u w:color="FF0000"/>
        </w:rPr>
        <w:tab/>
      </w:r>
      <w:r w:rsidR="00E32142" w:rsidRPr="00411B94">
        <w:rPr>
          <w:sz w:val="22"/>
          <w:szCs w:val="22"/>
          <w:u w:color="FF0000"/>
        </w:rPr>
        <w:tab/>
      </w:r>
      <w:r w:rsidR="00E32142" w:rsidRPr="00411B94">
        <w:rPr>
          <w:sz w:val="22"/>
          <w:szCs w:val="22"/>
          <w:u w:color="FF0000"/>
        </w:rPr>
        <w:tab/>
      </w:r>
    </w:p>
    <w:p w:rsidR="006262D9" w:rsidRPr="00411B94" w:rsidRDefault="00E32142" w:rsidP="00793F44">
      <w:pPr>
        <w:widowControl/>
        <w:adjustRightInd/>
        <w:spacing w:before="120" w:line="240" w:lineRule="auto"/>
        <w:textAlignment w:val="auto"/>
        <w:rPr>
          <w:sz w:val="22"/>
          <w:szCs w:val="22"/>
          <w:u w:color="FF0000"/>
        </w:rPr>
      </w:pPr>
      <w:r w:rsidRPr="00411B94">
        <w:rPr>
          <w:sz w:val="22"/>
          <w:szCs w:val="22"/>
          <w:u w:color="FF0000"/>
        </w:rPr>
        <w:tab/>
      </w:r>
    </w:p>
    <w:p w:rsidR="00F54F78" w:rsidRPr="00411B94" w:rsidRDefault="00183E13" w:rsidP="00001EE4">
      <w:pPr>
        <w:widowControl/>
        <w:adjustRightInd/>
        <w:spacing w:line="240" w:lineRule="auto"/>
        <w:jc w:val="left"/>
        <w:textAlignment w:val="auto"/>
        <w:rPr>
          <w:sz w:val="22"/>
          <w:szCs w:val="22"/>
          <w:u w:color="FF0000"/>
        </w:rPr>
      </w:pPr>
      <w:r w:rsidRPr="00411B94">
        <w:rPr>
          <w:sz w:val="22"/>
          <w:szCs w:val="22"/>
          <w:u w:color="FF0000"/>
        </w:rPr>
        <w:tab/>
      </w:r>
      <w:r w:rsidRPr="00411B94">
        <w:rPr>
          <w:sz w:val="22"/>
          <w:szCs w:val="22"/>
          <w:u w:color="FF0000"/>
        </w:rPr>
        <w:tab/>
      </w:r>
      <w:r w:rsidRPr="00411B94">
        <w:rPr>
          <w:sz w:val="22"/>
          <w:szCs w:val="22"/>
          <w:u w:color="FF0000"/>
        </w:rPr>
        <w:tab/>
      </w:r>
      <w:r w:rsidRPr="00411B94">
        <w:rPr>
          <w:sz w:val="22"/>
          <w:szCs w:val="22"/>
          <w:u w:color="FF0000"/>
        </w:rPr>
        <w:tab/>
      </w:r>
      <w:r w:rsidRPr="00411B94">
        <w:rPr>
          <w:sz w:val="22"/>
          <w:szCs w:val="22"/>
          <w:u w:color="FF0000"/>
        </w:rPr>
        <w:tab/>
      </w:r>
      <w:r w:rsidR="00001EE4" w:rsidRPr="00411B94">
        <w:rPr>
          <w:sz w:val="22"/>
          <w:szCs w:val="22"/>
          <w:u w:color="FF0000"/>
        </w:rPr>
        <w:tab/>
      </w:r>
      <w:r w:rsidR="00001EE4" w:rsidRPr="00411B94">
        <w:rPr>
          <w:sz w:val="22"/>
          <w:szCs w:val="22"/>
          <w:u w:color="FF0000"/>
        </w:rPr>
        <w:tab/>
      </w:r>
      <w:r w:rsidR="00001EE4" w:rsidRPr="00411B94">
        <w:rPr>
          <w:sz w:val="22"/>
          <w:szCs w:val="22"/>
          <w:u w:color="FF0000"/>
        </w:rPr>
        <w:tab/>
      </w:r>
      <w:r w:rsidR="00001EE4" w:rsidRPr="00411B94">
        <w:rPr>
          <w:sz w:val="22"/>
          <w:szCs w:val="22"/>
          <w:u w:color="FF0000"/>
        </w:rPr>
        <w:tab/>
      </w:r>
      <w:r w:rsidR="00001EE4" w:rsidRPr="00411B94">
        <w:rPr>
          <w:sz w:val="22"/>
          <w:szCs w:val="22"/>
          <w:u w:color="FF0000"/>
        </w:rPr>
        <w:tab/>
      </w:r>
      <w:r w:rsidR="00001EE4" w:rsidRPr="00411B94">
        <w:rPr>
          <w:sz w:val="22"/>
          <w:szCs w:val="22"/>
          <w:u w:color="FF0000"/>
        </w:rPr>
        <w:tab/>
      </w:r>
      <w:r w:rsidR="00F54F78" w:rsidRPr="00411B94">
        <w:rPr>
          <w:sz w:val="22"/>
          <w:szCs w:val="22"/>
          <w:u w:color="FF0000"/>
        </w:rPr>
        <w:t xml:space="preserve"> </w:t>
      </w:r>
      <w:r w:rsidR="005552BD" w:rsidRPr="00411B94">
        <w:rPr>
          <w:sz w:val="22"/>
          <w:szCs w:val="22"/>
          <w:u w:color="FF0000"/>
        </w:rPr>
        <w:tab/>
      </w:r>
      <w:r w:rsidR="00F54F78" w:rsidRPr="00411B94">
        <w:rPr>
          <w:sz w:val="22"/>
          <w:szCs w:val="22"/>
          <w:u w:color="FF0000"/>
        </w:rPr>
        <w:t xml:space="preserve"> FLATS</w:t>
      </w:r>
      <w:r w:rsidR="00F54F78" w:rsidRPr="00411B94">
        <w:rPr>
          <w:sz w:val="22"/>
          <w:szCs w:val="22"/>
          <w:u w:color="FF0000"/>
        </w:rPr>
        <w:tab/>
      </w:r>
      <w:r w:rsidR="00F54F78" w:rsidRPr="00411B94">
        <w:rPr>
          <w:sz w:val="22"/>
          <w:szCs w:val="22"/>
          <w:u w:color="FF0000"/>
        </w:rPr>
        <w:tab/>
      </w:r>
      <w:r w:rsidR="005552BD" w:rsidRPr="00411B94">
        <w:rPr>
          <w:sz w:val="22"/>
          <w:szCs w:val="22"/>
          <w:u w:color="FF0000"/>
        </w:rPr>
        <w:tab/>
      </w:r>
      <w:r w:rsidR="005552BD" w:rsidRPr="00411B94">
        <w:rPr>
          <w:sz w:val="22"/>
          <w:szCs w:val="22"/>
          <w:u w:color="FF0000"/>
        </w:rPr>
        <w:tab/>
      </w:r>
      <w:r w:rsidR="005552BD" w:rsidRPr="00411B94">
        <w:rPr>
          <w:sz w:val="22"/>
          <w:szCs w:val="22"/>
          <w:u w:color="FF0000"/>
        </w:rPr>
        <w:tab/>
      </w:r>
      <w:r w:rsidR="00F54F78" w:rsidRPr="00411B94">
        <w:rPr>
          <w:sz w:val="22"/>
          <w:szCs w:val="22"/>
          <w:u w:color="FF0000"/>
        </w:rPr>
        <w:t>MULTI-FLOOR UNITS</w:t>
      </w:r>
    </w:p>
    <w:p w:rsidR="00D30794" w:rsidRPr="00411B94" w:rsidRDefault="00D30794" w:rsidP="00D30794">
      <w:pPr>
        <w:spacing w:line="240" w:lineRule="auto"/>
        <w:rPr>
          <w:sz w:val="22"/>
          <w:szCs w:val="22"/>
        </w:rPr>
      </w:pPr>
      <w:r w:rsidRPr="00411B94">
        <w:rPr>
          <w:sz w:val="22"/>
          <w:szCs w:val="22"/>
          <w:u w:color="FF0000"/>
        </w:rPr>
        <w:tab/>
      </w:r>
      <w:r w:rsidRPr="00411B94">
        <w:rPr>
          <w:sz w:val="22"/>
          <w:szCs w:val="22"/>
          <w:u w:color="FF0000"/>
        </w:rPr>
        <w:tab/>
      </w:r>
      <w:r w:rsidRPr="00411B94">
        <w:rPr>
          <w:sz w:val="22"/>
          <w:szCs w:val="22"/>
          <w:u w:color="FF0000"/>
        </w:rPr>
        <w:tab/>
      </w:r>
      <w:r w:rsidRPr="00411B94">
        <w:rPr>
          <w:sz w:val="22"/>
          <w:szCs w:val="22"/>
          <w:u w:color="FF0000"/>
        </w:rPr>
        <w:tab/>
      </w:r>
      <w:proofErr w:type="gramStart"/>
      <w:smartTag w:uri="urn:schemas-microsoft-com:office:smarttags" w:element="stockticker">
        <w:r w:rsidRPr="00411B94">
          <w:rPr>
            <w:sz w:val="22"/>
            <w:szCs w:val="22"/>
          </w:rPr>
          <w:t>SRO</w:t>
        </w:r>
      </w:smartTag>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t xml:space="preserve">90 to 200 </w:t>
      </w:r>
      <w:proofErr w:type="spellStart"/>
      <w:r w:rsidRPr="00411B94">
        <w:rPr>
          <w:sz w:val="22"/>
          <w:szCs w:val="22"/>
        </w:rPr>
        <w:t>sq.ft</w:t>
      </w:r>
      <w:proofErr w:type="spellEnd"/>
      <w:r w:rsidRPr="00411B94">
        <w:rPr>
          <w:sz w:val="22"/>
          <w:szCs w:val="22"/>
        </w:rPr>
        <w:t>.</w:t>
      </w:r>
      <w:proofErr w:type="gramEnd"/>
    </w:p>
    <w:p w:rsidR="00D30794" w:rsidRPr="00411B94" w:rsidRDefault="00D30794" w:rsidP="00D30794">
      <w:pPr>
        <w:spacing w:line="240" w:lineRule="auto"/>
        <w:rPr>
          <w:sz w:val="22"/>
          <w:szCs w:val="22"/>
        </w:rPr>
      </w:pPr>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EFF</w:t>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t xml:space="preserve">400 to 600 </w:t>
      </w:r>
      <w:proofErr w:type="spellStart"/>
      <w:r w:rsidRPr="00411B94">
        <w:rPr>
          <w:sz w:val="22"/>
          <w:szCs w:val="22"/>
        </w:rPr>
        <w:t>sq.ft</w:t>
      </w:r>
      <w:proofErr w:type="spellEnd"/>
      <w:r w:rsidRPr="00411B94">
        <w:rPr>
          <w:sz w:val="22"/>
          <w:szCs w:val="22"/>
        </w:rPr>
        <w:t>.</w:t>
      </w:r>
      <w:proofErr w:type="gramEnd"/>
    </w:p>
    <w:p w:rsidR="00D30794" w:rsidRPr="00411B94" w:rsidRDefault="00D30794" w:rsidP="00D30794">
      <w:pPr>
        <w:spacing w:line="240" w:lineRule="auto"/>
        <w:rPr>
          <w:sz w:val="22"/>
          <w:szCs w:val="22"/>
        </w:rPr>
      </w:pPr>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1 BR</w:t>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t xml:space="preserve">550 to 850 </w:t>
      </w:r>
      <w:proofErr w:type="spellStart"/>
      <w:r w:rsidRPr="00411B94">
        <w:rPr>
          <w:sz w:val="22"/>
          <w:szCs w:val="22"/>
        </w:rPr>
        <w:t>sq.ft</w:t>
      </w:r>
      <w:proofErr w:type="spellEnd"/>
      <w:r w:rsidRPr="00411B94">
        <w:rPr>
          <w:sz w:val="22"/>
          <w:szCs w:val="22"/>
        </w:rPr>
        <w:t>.</w:t>
      </w:r>
      <w:proofErr w:type="gramEnd"/>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 xml:space="preserve">650 to 950 </w:t>
      </w:r>
      <w:proofErr w:type="spellStart"/>
      <w:r w:rsidRPr="00411B94">
        <w:rPr>
          <w:sz w:val="22"/>
          <w:szCs w:val="22"/>
        </w:rPr>
        <w:t>sq.ft</w:t>
      </w:r>
      <w:proofErr w:type="spellEnd"/>
      <w:r w:rsidRPr="00411B94">
        <w:rPr>
          <w:sz w:val="22"/>
          <w:szCs w:val="22"/>
        </w:rPr>
        <w:t>.</w:t>
      </w:r>
      <w:proofErr w:type="gramEnd"/>
    </w:p>
    <w:p w:rsidR="00D30794" w:rsidRPr="00411B94" w:rsidRDefault="00D30794" w:rsidP="00D30794">
      <w:pPr>
        <w:spacing w:line="240" w:lineRule="auto"/>
        <w:rPr>
          <w:sz w:val="22"/>
          <w:szCs w:val="22"/>
        </w:rPr>
      </w:pPr>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2 BR</w:t>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t xml:space="preserve">700 to 1,100 </w:t>
      </w:r>
      <w:proofErr w:type="spellStart"/>
      <w:r w:rsidRPr="00411B94">
        <w:rPr>
          <w:sz w:val="22"/>
          <w:szCs w:val="22"/>
        </w:rPr>
        <w:t>sq.ft</w:t>
      </w:r>
      <w:proofErr w:type="spellEnd"/>
      <w:r w:rsidRPr="00411B94">
        <w:rPr>
          <w:sz w:val="22"/>
          <w:szCs w:val="22"/>
        </w:rPr>
        <w:t>.</w:t>
      </w:r>
      <w:proofErr w:type="gramEnd"/>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 xml:space="preserve">850 to 1,300 </w:t>
      </w:r>
      <w:proofErr w:type="spellStart"/>
      <w:r w:rsidRPr="00411B94">
        <w:rPr>
          <w:sz w:val="22"/>
          <w:szCs w:val="22"/>
        </w:rPr>
        <w:t>sq.ft</w:t>
      </w:r>
      <w:proofErr w:type="spellEnd"/>
      <w:r w:rsidRPr="00411B94">
        <w:rPr>
          <w:sz w:val="22"/>
          <w:szCs w:val="22"/>
        </w:rPr>
        <w:t>.</w:t>
      </w:r>
      <w:proofErr w:type="gramEnd"/>
    </w:p>
    <w:p w:rsidR="00D30794" w:rsidRPr="00411B94" w:rsidRDefault="00D30794" w:rsidP="00D30794">
      <w:pPr>
        <w:spacing w:line="240" w:lineRule="auto"/>
        <w:rPr>
          <w:sz w:val="22"/>
          <w:szCs w:val="22"/>
        </w:rPr>
      </w:pPr>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3 BR</w:t>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t xml:space="preserve">950 to 1,350 </w:t>
      </w:r>
      <w:proofErr w:type="spellStart"/>
      <w:r w:rsidRPr="00411B94">
        <w:rPr>
          <w:sz w:val="22"/>
          <w:szCs w:val="22"/>
        </w:rPr>
        <w:t>sq.ft</w:t>
      </w:r>
      <w:proofErr w:type="spellEnd"/>
      <w:r w:rsidRPr="00411B94">
        <w:rPr>
          <w:sz w:val="22"/>
          <w:szCs w:val="22"/>
        </w:rPr>
        <w:t>.</w:t>
      </w:r>
      <w:proofErr w:type="gramEnd"/>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 xml:space="preserve">1,000 to 1,550 </w:t>
      </w:r>
      <w:proofErr w:type="spellStart"/>
      <w:r w:rsidRPr="00411B94">
        <w:rPr>
          <w:sz w:val="22"/>
          <w:szCs w:val="22"/>
        </w:rPr>
        <w:t>sq.ft</w:t>
      </w:r>
      <w:proofErr w:type="spellEnd"/>
      <w:r w:rsidRPr="00411B94">
        <w:rPr>
          <w:sz w:val="22"/>
          <w:szCs w:val="22"/>
        </w:rPr>
        <w:t>.</w:t>
      </w:r>
      <w:proofErr w:type="gramEnd"/>
    </w:p>
    <w:p w:rsidR="00D30794" w:rsidRPr="00411B94" w:rsidRDefault="00D30794" w:rsidP="00D30794">
      <w:pPr>
        <w:spacing w:line="240" w:lineRule="auto"/>
        <w:rPr>
          <w:sz w:val="22"/>
          <w:szCs w:val="22"/>
        </w:rPr>
      </w:pPr>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 xml:space="preserve">4 BR </w:t>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t xml:space="preserve">1,100 to 1,550 </w:t>
      </w:r>
      <w:proofErr w:type="spellStart"/>
      <w:r w:rsidRPr="00411B94">
        <w:rPr>
          <w:sz w:val="22"/>
          <w:szCs w:val="22"/>
        </w:rPr>
        <w:t>sq.ft</w:t>
      </w:r>
      <w:proofErr w:type="spellEnd"/>
      <w:r w:rsidRPr="00411B94">
        <w:rPr>
          <w:sz w:val="22"/>
          <w:szCs w:val="22"/>
        </w:rPr>
        <w:t>.</w:t>
      </w:r>
      <w:proofErr w:type="gramEnd"/>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 xml:space="preserve">1,200 to 1,750 </w:t>
      </w:r>
      <w:proofErr w:type="spellStart"/>
      <w:r w:rsidRPr="00411B94">
        <w:rPr>
          <w:sz w:val="22"/>
          <w:szCs w:val="22"/>
        </w:rPr>
        <w:t>sq.ft</w:t>
      </w:r>
      <w:proofErr w:type="spellEnd"/>
      <w:r w:rsidRPr="00411B94">
        <w:rPr>
          <w:sz w:val="22"/>
          <w:szCs w:val="22"/>
        </w:rPr>
        <w:t>.</w:t>
      </w:r>
      <w:proofErr w:type="gramEnd"/>
    </w:p>
    <w:p w:rsidR="00F54F78" w:rsidRPr="00411B94" w:rsidRDefault="00D30794" w:rsidP="00F4219B">
      <w:pPr>
        <w:spacing w:line="240" w:lineRule="auto"/>
        <w:rPr>
          <w:sz w:val="22"/>
          <w:szCs w:val="22"/>
        </w:rPr>
      </w:pPr>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5 BR</w:t>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r>
      <w:r w:rsidRPr="00411B94">
        <w:rPr>
          <w:sz w:val="22"/>
          <w:szCs w:val="22"/>
        </w:rPr>
        <w:tab/>
        <w:t xml:space="preserve">1,300 to 1,750 </w:t>
      </w:r>
      <w:proofErr w:type="spellStart"/>
      <w:r w:rsidRPr="00411B94">
        <w:rPr>
          <w:sz w:val="22"/>
          <w:szCs w:val="22"/>
        </w:rPr>
        <w:t>sq.ft</w:t>
      </w:r>
      <w:proofErr w:type="spellEnd"/>
      <w:r w:rsidRPr="00411B94">
        <w:rPr>
          <w:sz w:val="22"/>
          <w:szCs w:val="22"/>
        </w:rPr>
        <w:t>.</w:t>
      </w:r>
      <w:proofErr w:type="gramEnd"/>
      <w:r w:rsidRPr="00411B94">
        <w:rPr>
          <w:sz w:val="22"/>
          <w:szCs w:val="22"/>
        </w:rPr>
        <w:tab/>
      </w:r>
      <w:r w:rsidRPr="00411B94">
        <w:rPr>
          <w:sz w:val="22"/>
          <w:szCs w:val="22"/>
        </w:rPr>
        <w:tab/>
      </w:r>
      <w:r w:rsidRPr="00411B94">
        <w:rPr>
          <w:sz w:val="22"/>
          <w:szCs w:val="22"/>
        </w:rPr>
        <w:tab/>
      </w:r>
      <w:r w:rsidRPr="00411B94">
        <w:rPr>
          <w:sz w:val="22"/>
          <w:szCs w:val="22"/>
        </w:rPr>
        <w:tab/>
      </w:r>
      <w:proofErr w:type="gramStart"/>
      <w:r w:rsidRPr="00411B94">
        <w:rPr>
          <w:sz w:val="22"/>
          <w:szCs w:val="22"/>
        </w:rPr>
        <w:t xml:space="preserve">1,400 to 2,000 </w:t>
      </w:r>
      <w:proofErr w:type="spellStart"/>
      <w:r w:rsidRPr="00411B94">
        <w:rPr>
          <w:sz w:val="22"/>
          <w:szCs w:val="22"/>
        </w:rPr>
        <w:t>sq.ft</w:t>
      </w:r>
      <w:proofErr w:type="spellEnd"/>
      <w:r w:rsidRPr="00411B94">
        <w:rPr>
          <w:sz w:val="22"/>
          <w:szCs w:val="22"/>
        </w:rPr>
        <w:t>.</w:t>
      </w:r>
      <w:proofErr w:type="gramEnd"/>
    </w:p>
    <w:p w:rsidR="00C3196A" w:rsidRDefault="00C3196A" w:rsidP="00F4219B">
      <w:pPr>
        <w:spacing w:line="240" w:lineRule="auto"/>
      </w:pPr>
    </w:p>
    <w:p w:rsidR="006657BC" w:rsidRPr="00411B94" w:rsidRDefault="006657BC" w:rsidP="00F4219B">
      <w:pPr>
        <w:spacing w:line="240" w:lineRule="auto"/>
      </w:pPr>
    </w:p>
    <w:p w:rsidR="00F54F78" w:rsidRPr="00411B94" w:rsidRDefault="00F54F78" w:rsidP="00E94493">
      <w:pPr>
        <w:numPr>
          <w:ilvl w:val="0"/>
          <w:numId w:val="18"/>
        </w:numPr>
        <w:spacing w:line="240" w:lineRule="auto"/>
        <w:rPr>
          <w:sz w:val="22"/>
          <w:szCs w:val="22"/>
          <w:u w:color="FF0000"/>
        </w:rPr>
      </w:pPr>
      <w:r w:rsidRPr="00411B94">
        <w:rPr>
          <w:sz w:val="22"/>
          <w:szCs w:val="22"/>
          <w:u w:color="FF0000"/>
        </w:rPr>
        <w:t xml:space="preserve">Air conditioning shall be supplied to living areas and all bedrooms of each unit.  Individual window units will not be considered as meeting this </w:t>
      </w:r>
      <w:r w:rsidR="00DA2981" w:rsidRPr="00411B94">
        <w:rPr>
          <w:sz w:val="22"/>
          <w:szCs w:val="22"/>
          <w:u w:color="FF0000"/>
        </w:rPr>
        <w:t>criterion</w:t>
      </w:r>
      <w:r w:rsidR="004E3446">
        <w:rPr>
          <w:sz w:val="22"/>
          <w:szCs w:val="22"/>
          <w:u w:color="FF0000"/>
        </w:rPr>
        <w:t>, except in preservation developments</w:t>
      </w:r>
      <w:r w:rsidRPr="00411B94">
        <w:rPr>
          <w:sz w:val="22"/>
          <w:szCs w:val="22"/>
          <w:u w:color="FF0000"/>
        </w:rPr>
        <w:t>.</w:t>
      </w:r>
    </w:p>
    <w:p w:rsidR="00F54F78" w:rsidRPr="00411B94" w:rsidRDefault="00F54F78" w:rsidP="00E94493">
      <w:pPr>
        <w:spacing w:line="240" w:lineRule="auto"/>
        <w:rPr>
          <w:u w:color="FF0000"/>
        </w:rPr>
      </w:pPr>
    </w:p>
    <w:p w:rsidR="00F54F78" w:rsidRPr="00411B94" w:rsidRDefault="00F54F78" w:rsidP="00E94493">
      <w:pPr>
        <w:numPr>
          <w:ilvl w:val="0"/>
          <w:numId w:val="18"/>
        </w:numPr>
        <w:spacing w:line="240" w:lineRule="auto"/>
        <w:rPr>
          <w:sz w:val="22"/>
          <w:szCs w:val="22"/>
          <w:u w:color="FF0000"/>
        </w:rPr>
      </w:pPr>
      <w:r w:rsidRPr="00411B94">
        <w:rPr>
          <w:sz w:val="22"/>
          <w:szCs w:val="22"/>
          <w:u w:color="FF0000"/>
        </w:rPr>
        <w:t xml:space="preserve">Refrigerators, ranges and ovens will be required in all units except for developments containing </w:t>
      </w:r>
      <w:smartTag w:uri="urn:schemas-microsoft-com:office:smarttags" w:element="stockticker">
        <w:r w:rsidRPr="00411B94">
          <w:rPr>
            <w:sz w:val="22"/>
            <w:szCs w:val="22"/>
            <w:u w:color="FF0000"/>
          </w:rPr>
          <w:t>SRO</w:t>
        </w:r>
      </w:smartTag>
      <w:r w:rsidRPr="00411B94">
        <w:rPr>
          <w:sz w:val="22"/>
          <w:szCs w:val="22"/>
          <w:u w:color="FF0000"/>
        </w:rPr>
        <w:t xml:space="preserve"> units provided </w:t>
      </w:r>
      <w:r w:rsidR="00997179">
        <w:rPr>
          <w:sz w:val="22"/>
          <w:szCs w:val="22"/>
          <w:u w:color="FF0000"/>
        </w:rPr>
        <w:t xml:space="preserve">that </w:t>
      </w:r>
      <w:r w:rsidRPr="00411B94">
        <w:rPr>
          <w:sz w:val="22"/>
          <w:szCs w:val="22"/>
          <w:u w:color="FF0000"/>
        </w:rPr>
        <w:t>such properties have common cooking facilities containing these appliances.</w:t>
      </w:r>
    </w:p>
    <w:p w:rsidR="00F54F78" w:rsidRPr="00411B94" w:rsidRDefault="00F54F78" w:rsidP="00E94493">
      <w:pPr>
        <w:spacing w:line="240" w:lineRule="auto"/>
        <w:ind w:left="720"/>
        <w:rPr>
          <w:u w:color="FF0000"/>
        </w:rPr>
      </w:pPr>
    </w:p>
    <w:p w:rsidR="00F54F78" w:rsidRPr="00411B94" w:rsidRDefault="00F54F78" w:rsidP="00E94493">
      <w:pPr>
        <w:numPr>
          <w:ilvl w:val="0"/>
          <w:numId w:val="18"/>
        </w:numPr>
        <w:spacing w:line="240" w:lineRule="auto"/>
        <w:rPr>
          <w:sz w:val="22"/>
          <w:szCs w:val="22"/>
          <w:u w:color="FF0000"/>
        </w:rPr>
      </w:pPr>
      <w:r w:rsidRPr="00411B94">
        <w:rPr>
          <w:sz w:val="22"/>
          <w:szCs w:val="22"/>
          <w:u w:color="FF0000"/>
        </w:rPr>
        <w:t>Window treatments in all residential units</w:t>
      </w:r>
      <w:r w:rsidR="00CF5A87" w:rsidRPr="00411B94">
        <w:rPr>
          <w:sz w:val="22"/>
          <w:szCs w:val="22"/>
          <w:u w:color="FF0000"/>
        </w:rPr>
        <w:t xml:space="preserve"> are required</w:t>
      </w:r>
      <w:r w:rsidRPr="00411B94">
        <w:rPr>
          <w:sz w:val="22"/>
          <w:szCs w:val="22"/>
          <w:u w:color="FF0000"/>
        </w:rPr>
        <w:t>.  Window treatments include venetian blinds, vertical blinds, or other opaque blinds.  Roller shades will not be considered in this category.</w:t>
      </w:r>
    </w:p>
    <w:p w:rsidR="00491A05" w:rsidRPr="00411B94" w:rsidRDefault="00491A05">
      <w:pPr>
        <w:spacing w:line="240" w:lineRule="auto"/>
        <w:rPr>
          <w:sz w:val="22"/>
          <w:szCs w:val="22"/>
          <w:u w:color="FF0000"/>
        </w:rPr>
      </w:pPr>
    </w:p>
    <w:p w:rsidR="0034255D" w:rsidRDefault="00E31732" w:rsidP="00D2293B">
      <w:pPr>
        <w:pStyle w:val="Header"/>
        <w:tabs>
          <w:tab w:val="clear" w:pos="4320"/>
          <w:tab w:val="clear" w:pos="8640"/>
        </w:tabs>
        <w:spacing w:line="240" w:lineRule="auto"/>
        <w:ind w:left="720" w:hanging="360"/>
        <w:rPr>
          <w:sz w:val="22"/>
          <w:szCs w:val="22"/>
          <w:u w:color="FF0000"/>
        </w:rPr>
      </w:pPr>
      <w:r w:rsidRPr="00411B94">
        <w:rPr>
          <w:sz w:val="22"/>
          <w:szCs w:val="22"/>
          <w:u w:color="FF0000"/>
        </w:rPr>
        <w:t>3</w:t>
      </w:r>
      <w:r w:rsidR="0034255D" w:rsidRPr="00411B94">
        <w:rPr>
          <w:sz w:val="22"/>
          <w:szCs w:val="22"/>
          <w:u w:color="FF0000"/>
        </w:rPr>
        <w:t xml:space="preserve">.  </w:t>
      </w:r>
      <w:proofErr w:type="spellStart"/>
      <w:r w:rsidR="0034255D" w:rsidRPr="00411B94">
        <w:rPr>
          <w:sz w:val="22"/>
          <w:szCs w:val="22"/>
          <w:u w:color="FF0000"/>
        </w:rPr>
        <w:t>VisitA</w:t>
      </w:r>
      <w:r w:rsidR="007F53BA" w:rsidRPr="00411B94">
        <w:rPr>
          <w:sz w:val="22"/>
          <w:szCs w:val="22"/>
          <w:u w:color="FF0000"/>
        </w:rPr>
        <w:t>bility</w:t>
      </w:r>
      <w:proofErr w:type="spellEnd"/>
      <w:r w:rsidR="007F53BA" w:rsidRPr="00411B94">
        <w:rPr>
          <w:sz w:val="22"/>
          <w:szCs w:val="22"/>
          <w:u w:color="FF0000"/>
        </w:rPr>
        <w:t xml:space="preserve"> </w:t>
      </w:r>
      <w:r w:rsidR="00917380" w:rsidRPr="00411B94">
        <w:rPr>
          <w:sz w:val="22"/>
          <w:szCs w:val="22"/>
        </w:rPr>
        <w:t>–</w:t>
      </w:r>
      <w:r w:rsidR="007F53BA" w:rsidRPr="00411B94">
        <w:rPr>
          <w:sz w:val="22"/>
          <w:szCs w:val="22"/>
        </w:rPr>
        <w:t xml:space="preserve"> </w:t>
      </w:r>
      <w:r w:rsidR="00917380" w:rsidRPr="00411B94">
        <w:rPr>
          <w:sz w:val="22"/>
          <w:szCs w:val="22"/>
        </w:rPr>
        <w:t xml:space="preserve">The following dwelling unit types shall meet the </w:t>
      </w:r>
      <w:proofErr w:type="spellStart"/>
      <w:r w:rsidR="00917380" w:rsidRPr="00411B94">
        <w:rPr>
          <w:sz w:val="22"/>
          <w:szCs w:val="22"/>
        </w:rPr>
        <w:t>VisitAbility</w:t>
      </w:r>
      <w:proofErr w:type="spellEnd"/>
      <w:r w:rsidR="00917380" w:rsidRPr="00411B94">
        <w:rPr>
          <w:sz w:val="22"/>
          <w:szCs w:val="22"/>
        </w:rPr>
        <w:t xml:space="preserve"> requirements: 100% of newly constructed single family homes, townhouses, and units in elevator buildings; all ground floor units in walk-up apartment buildings</w:t>
      </w:r>
      <w:r w:rsidR="004E3446">
        <w:rPr>
          <w:sz w:val="22"/>
          <w:szCs w:val="22"/>
        </w:rPr>
        <w:t>.</w:t>
      </w:r>
      <w:r w:rsidR="00917380" w:rsidRPr="00411B94">
        <w:rPr>
          <w:sz w:val="22"/>
          <w:szCs w:val="22"/>
        </w:rPr>
        <w:t xml:space="preserve"> </w:t>
      </w:r>
      <w:r w:rsidR="004E3446">
        <w:rPr>
          <w:sz w:val="22"/>
          <w:szCs w:val="22"/>
        </w:rPr>
        <w:t xml:space="preserve">Rehabilitation developments should strive for 100% compliance, but at least 25% shall meet the </w:t>
      </w:r>
      <w:proofErr w:type="spellStart"/>
      <w:r w:rsidR="00E909B5">
        <w:rPr>
          <w:sz w:val="22"/>
          <w:szCs w:val="22"/>
        </w:rPr>
        <w:t>VisitAbility</w:t>
      </w:r>
      <w:proofErr w:type="spellEnd"/>
      <w:r w:rsidR="00E909B5">
        <w:rPr>
          <w:sz w:val="22"/>
          <w:szCs w:val="22"/>
        </w:rPr>
        <w:t xml:space="preserve"> </w:t>
      </w:r>
      <w:r w:rsidR="004E3446">
        <w:rPr>
          <w:sz w:val="22"/>
          <w:szCs w:val="22"/>
        </w:rPr>
        <w:t>req</w:t>
      </w:r>
      <w:r w:rsidR="00130993">
        <w:rPr>
          <w:sz w:val="22"/>
          <w:szCs w:val="22"/>
        </w:rPr>
        <w:t>uirements</w:t>
      </w:r>
      <w:r w:rsidR="00997179">
        <w:rPr>
          <w:sz w:val="22"/>
          <w:szCs w:val="22"/>
        </w:rPr>
        <w:t>.</w:t>
      </w:r>
      <w:r w:rsidR="00917380" w:rsidRPr="00411B94">
        <w:rPr>
          <w:sz w:val="22"/>
          <w:szCs w:val="22"/>
        </w:rPr>
        <w:t xml:space="preserve"> </w:t>
      </w:r>
      <w:r w:rsidR="007F53BA" w:rsidRPr="00411B94">
        <w:rPr>
          <w:sz w:val="22"/>
          <w:szCs w:val="22"/>
        </w:rPr>
        <w:t xml:space="preserve">Properties unable to </w:t>
      </w:r>
      <w:r w:rsidR="005F3D5B" w:rsidRPr="00411B94">
        <w:rPr>
          <w:sz w:val="22"/>
          <w:szCs w:val="22"/>
        </w:rPr>
        <w:t>comply with this requirement</w:t>
      </w:r>
      <w:r w:rsidR="007F53BA" w:rsidRPr="00411B94">
        <w:rPr>
          <w:sz w:val="22"/>
          <w:szCs w:val="22"/>
        </w:rPr>
        <w:t xml:space="preserve"> due to physical constraints o</w:t>
      </w:r>
      <w:r w:rsidR="00F65AB5" w:rsidRPr="00411B94">
        <w:rPr>
          <w:sz w:val="22"/>
          <w:szCs w:val="22"/>
        </w:rPr>
        <w:t>r</w:t>
      </w:r>
      <w:r w:rsidR="007F53BA" w:rsidRPr="00411B94">
        <w:rPr>
          <w:sz w:val="22"/>
          <w:szCs w:val="22"/>
        </w:rPr>
        <w:t xml:space="preserve"> building type may apply for a waiver</w:t>
      </w:r>
      <w:r w:rsidR="0034255D" w:rsidRPr="00411B94">
        <w:rPr>
          <w:sz w:val="22"/>
          <w:szCs w:val="22"/>
        </w:rPr>
        <w:t xml:space="preserve"> from this threshold requirement</w:t>
      </w:r>
      <w:r w:rsidR="007F53BA" w:rsidRPr="00411B94">
        <w:rPr>
          <w:sz w:val="22"/>
          <w:szCs w:val="22"/>
        </w:rPr>
        <w:t>.</w:t>
      </w:r>
      <w:r w:rsidR="0034255D" w:rsidRPr="00411B94">
        <w:rPr>
          <w:sz w:val="22"/>
          <w:szCs w:val="22"/>
        </w:rPr>
        <w:t xml:space="preserve"> To meet </w:t>
      </w:r>
      <w:proofErr w:type="spellStart"/>
      <w:r w:rsidR="0034255D" w:rsidRPr="00411B94">
        <w:rPr>
          <w:sz w:val="22"/>
          <w:szCs w:val="22"/>
        </w:rPr>
        <w:t>VisitAbility</w:t>
      </w:r>
      <w:proofErr w:type="spellEnd"/>
      <w:r w:rsidR="0034255D" w:rsidRPr="00411B94">
        <w:rPr>
          <w:sz w:val="22"/>
          <w:szCs w:val="22"/>
        </w:rPr>
        <w:t xml:space="preserve"> design features</w:t>
      </w:r>
      <w:r w:rsidR="00997179">
        <w:rPr>
          <w:sz w:val="22"/>
          <w:szCs w:val="22"/>
        </w:rPr>
        <w:t>,</w:t>
      </w:r>
      <w:r w:rsidR="0034255D" w:rsidRPr="00411B94">
        <w:rPr>
          <w:sz w:val="22"/>
          <w:szCs w:val="22"/>
        </w:rPr>
        <w:t xml:space="preserve"> the building and units must have at least one zero-step entrance with a 36</w:t>
      </w:r>
      <w:r w:rsidR="00334A3C" w:rsidRPr="00411B94">
        <w:rPr>
          <w:sz w:val="22"/>
          <w:szCs w:val="22"/>
        </w:rPr>
        <w:t>-</w:t>
      </w:r>
      <w:r w:rsidR="0034255D" w:rsidRPr="00411B94">
        <w:rPr>
          <w:sz w:val="22"/>
          <w:szCs w:val="22"/>
        </w:rPr>
        <w:t xml:space="preserve">inch wide door; all doorways and passages on the entry level floor should have a width of 36 inches; there should be a clear pathway to a bathroom or powder room; such bathroom or powder room should include </w:t>
      </w:r>
      <w:r w:rsidR="005F3D5B" w:rsidRPr="00411B94">
        <w:rPr>
          <w:sz w:val="22"/>
          <w:szCs w:val="22"/>
        </w:rPr>
        <w:t>a minimum 24</w:t>
      </w:r>
      <w:r w:rsidR="00334A3C" w:rsidRPr="00411B94">
        <w:rPr>
          <w:sz w:val="22"/>
          <w:szCs w:val="22"/>
        </w:rPr>
        <w:t>-</w:t>
      </w:r>
      <w:r w:rsidR="005467F9" w:rsidRPr="00411B94">
        <w:rPr>
          <w:sz w:val="22"/>
          <w:szCs w:val="22"/>
        </w:rPr>
        <w:t>inch</w:t>
      </w:r>
      <w:r w:rsidR="005F3D5B" w:rsidRPr="00411B94">
        <w:rPr>
          <w:sz w:val="22"/>
          <w:szCs w:val="22"/>
        </w:rPr>
        <w:t xml:space="preserve"> grab bar beside the toilet on a</w:t>
      </w:r>
      <w:r w:rsidR="0034255D" w:rsidRPr="00411B94">
        <w:rPr>
          <w:sz w:val="22"/>
          <w:szCs w:val="22"/>
        </w:rPr>
        <w:t xml:space="preserve"> reinforced wall, which can also serve as</w:t>
      </w:r>
      <w:r w:rsidR="005F3D5B" w:rsidRPr="00411B94">
        <w:rPr>
          <w:sz w:val="22"/>
          <w:szCs w:val="22"/>
        </w:rPr>
        <w:t xml:space="preserve"> a</w:t>
      </w:r>
      <w:r w:rsidR="0034255D" w:rsidRPr="00411B94">
        <w:rPr>
          <w:sz w:val="22"/>
          <w:szCs w:val="22"/>
        </w:rPr>
        <w:t xml:space="preserve"> towel bar; and there should be a clear pathway to the living room and dining area of the unit.  The </w:t>
      </w:r>
      <w:proofErr w:type="spellStart"/>
      <w:r w:rsidR="009E0D06" w:rsidRPr="00411B94">
        <w:rPr>
          <w:sz w:val="22"/>
          <w:szCs w:val="22"/>
        </w:rPr>
        <w:t>V</w:t>
      </w:r>
      <w:r w:rsidR="00917380" w:rsidRPr="00411B94">
        <w:rPr>
          <w:sz w:val="22"/>
          <w:szCs w:val="22"/>
        </w:rPr>
        <w:t>isit</w:t>
      </w:r>
      <w:r w:rsidR="009E0D06" w:rsidRPr="00411B94">
        <w:rPr>
          <w:sz w:val="22"/>
          <w:szCs w:val="22"/>
        </w:rPr>
        <w:t>A</w:t>
      </w:r>
      <w:r w:rsidR="00917380" w:rsidRPr="00411B94">
        <w:rPr>
          <w:sz w:val="22"/>
          <w:szCs w:val="22"/>
        </w:rPr>
        <w:t>ble</w:t>
      </w:r>
      <w:proofErr w:type="spellEnd"/>
      <w:r w:rsidR="00917380" w:rsidRPr="00411B94">
        <w:rPr>
          <w:sz w:val="22"/>
          <w:szCs w:val="22"/>
        </w:rPr>
        <w:t xml:space="preserve"> </w:t>
      </w:r>
      <w:r w:rsidR="0034255D" w:rsidRPr="00411B94">
        <w:rPr>
          <w:sz w:val="22"/>
          <w:szCs w:val="22"/>
        </w:rPr>
        <w:t xml:space="preserve">powder room </w:t>
      </w:r>
      <w:r w:rsidR="00917380" w:rsidRPr="00411B94">
        <w:rPr>
          <w:sz w:val="22"/>
          <w:szCs w:val="22"/>
        </w:rPr>
        <w:t>or</w:t>
      </w:r>
      <w:r w:rsidR="0034255D" w:rsidRPr="00411B94">
        <w:rPr>
          <w:sz w:val="22"/>
          <w:szCs w:val="22"/>
        </w:rPr>
        <w:t xml:space="preserve"> bathroom must </w:t>
      </w:r>
      <w:r w:rsidR="00917380" w:rsidRPr="00411B94">
        <w:rPr>
          <w:sz w:val="22"/>
          <w:szCs w:val="22"/>
        </w:rPr>
        <w:t>provide</w:t>
      </w:r>
      <w:r w:rsidR="0034255D" w:rsidRPr="00411B94">
        <w:rPr>
          <w:sz w:val="22"/>
          <w:szCs w:val="22"/>
        </w:rPr>
        <w:t xml:space="preserve"> </w:t>
      </w:r>
      <w:r w:rsidR="005F3D5B" w:rsidRPr="00411B94">
        <w:rPr>
          <w:sz w:val="22"/>
          <w:szCs w:val="22"/>
        </w:rPr>
        <w:t>maneuverability clearances</w:t>
      </w:r>
      <w:r w:rsidR="00917380" w:rsidRPr="00411B94">
        <w:rPr>
          <w:sz w:val="22"/>
          <w:szCs w:val="22"/>
        </w:rPr>
        <w:t xml:space="preserve"> in accordance with the Fair Housing Act Design Manual</w:t>
      </w:r>
      <w:r w:rsidR="0034255D" w:rsidRPr="00411B94">
        <w:rPr>
          <w:sz w:val="22"/>
          <w:szCs w:val="22"/>
          <w:u w:color="FF0000"/>
        </w:rPr>
        <w:t>.</w:t>
      </w:r>
      <w:r w:rsidR="002857CF" w:rsidRPr="00411B94">
        <w:rPr>
          <w:sz w:val="22"/>
          <w:szCs w:val="22"/>
          <w:u w:color="FF0000"/>
        </w:rPr>
        <w:t xml:space="preserve"> </w:t>
      </w:r>
      <w:r w:rsidR="005467F9" w:rsidRPr="00411B94">
        <w:rPr>
          <w:sz w:val="22"/>
          <w:szCs w:val="22"/>
          <w:u w:color="FF0000"/>
        </w:rPr>
        <w:t xml:space="preserve"> </w:t>
      </w:r>
      <w:r w:rsidR="002857CF" w:rsidRPr="00411B94">
        <w:rPr>
          <w:sz w:val="22"/>
          <w:szCs w:val="22"/>
          <w:u w:color="FF0000"/>
        </w:rPr>
        <w:t xml:space="preserve">(Preservation developments </w:t>
      </w:r>
      <w:r w:rsidR="002D026B" w:rsidRPr="00411B94">
        <w:rPr>
          <w:sz w:val="22"/>
          <w:szCs w:val="22"/>
          <w:u w:color="FF0000"/>
        </w:rPr>
        <w:t>are exempt</w:t>
      </w:r>
      <w:r w:rsidR="002857CF" w:rsidRPr="00411B94">
        <w:rPr>
          <w:sz w:val="22"/>
          <w:szCs w:val="22"/>
          <w:u w:color="FF0000"/>
        </w:rPr>
        <w:t xml:space="preserve"> from this requirement but are encouraged to provide </w:t>
      </w:r>
      <w:proofErr w:type="spellStart"/>
      <w:r w:rsidR="005903E4" w:rsidRPr="00411B94">
        <w:rPr>
          <w:sz w:val="22"/>
          <w:szCs w:val="22"/>
          <w:u w:color="FF0000"/>
        </w:rPr>
        <w:t>V</w:t>
      </w:r>
      <w:r w:rsidR="002857CF" w:rsidRPr="00411B94">
        <w:rPr>
          <w:sz w:val="22"/>
          <w:szCs w:val="22"/>
          <w:u w:color="FF0000"/>
        </w:rPr>
        <w:t>isit</w:t>
      </w:r>
      <w:r w:rsidR="005903E4" w:rsidRPr="00411B94">
        <w:rPr>
          <w:sz w:val="22"/>
          <w:szCs w:val="22"/>
          <w:u w:color="FF0000"/>
        </w:rPr>
        <w:t>A</w:t>
      </w:r>
      <w:r w:rsidR="002857CF" w:rsidRPr="00411B94">
        <w:rPr>
          <w:sz w:val="22"/>
          <w:szCs w:val="22"/>
          <w:u w:color="FF0000"/>
        </w:rPr>
        <w:t>ble</w:t>
      </w:r>
      <w:proofErr w:type="spellEnd"/>
      <w:r w:rsidR="002857CF" w:rsidRPr="00411B94">
        <w:rPr>
          <w:sz w:val="22"/>
          <w:szCs w:val="22"/>
          <w:u w:color="FF0000"/>
        </w:rPr>
        <w:t xml:space="preserve"> units where feasible.)</w:t>
      </w:r>
    </w:p>
    <w:p w:rsidR="005F4E22" w:rsidRDefault="005F4E22" w:rsidP="00D2293B">
      <w:pPr>
        <w:pStyle w:val="Header"/>
        <w:tabs>
          <w:tab w:val="clear" w:pos="4320"/>
          <w:tab w:val="clear" w:pos="8640"/>
        </w:tabs>
        <w:spacing w:line="240" w:lineRule="auto"/>
        <w:ind w:left="720" w:hanging="360"/>
        <w:rPr>
          <w:sz w:val="22"/>
          <w:szCs w:val="22"/>
          <w:u w:color="FF0000"/>
        </w:rPr>
      </w:pPr>
    </w:p>
    <w:p w:rsidR="005F4E22" w:rsidRPr="008B361E" w:rsidRDefault="005F4E22" w:rsidP="005F4E22">
      <w:pPr>
        <w:spacing w:line="0" w:lineRule="atLeast"/>
        <w:ind w:left="720" w:hanging="360"/>
        <w:rPr>
          <w:color w:val="FF0000"/>
          <w:sz w:val="22"/>
          <w:szCs w:val="22"/>
        </w:rPr>
      </w:pPr>
      <w:r>
        <w:rPr>
          <w:sz w:val="22"/>
          <w:szCs w:val="22"/>
        </w:rPr>
        <w:t>4.</w:t>
      </w:r>
      <w:r>
        <w:rPr>
          <w:sz w:val="22"/>
          <w:szCs w:val="22"/>
        </w:rPr>
        <w:tab/>
      </w:r>
      <w:r w:rsidR="00083059" w:rsidRPr="00083059">
        <w:rPr>
          <w:color w:val="FF0000"/>
          <w:sz w:val="22"/>
          <w:szCs w:val="22"/>
        </w:rPr>
        <w:t xml:space="preserve">Fair Housing Act - All new construction developments shall be designed in conformance with the Fair Housing Act Design Guide standards, as applicable.  Substantial rehabilitation developments shall also be designed in accordance with the Fair Housing Act Design Guide, as applicable, but may seek a waiver from </w:t>
      </w:r>
      <w:r w:rsidR="00292EF5">
        <w:rPr>
          <w:color w:val="FF0000"/>
          <w:sz w:val="22"/>
          <w:szCs w:val="22"/>
        </w:rPr>
        <w:t>the Agency</w:t>
      </w:r>
      <w:r w:rsidR="00083059" w:rsidRPr="00083059">
        <w:rPr>
          <w:color w:val="FF0000"/>
          <w:sz w:val="22"/>
          <w:szCs w:val="22"/>
        </w:rPr>
        <w:t xml:space="preserve"> where existing conditions prohibit 100% compliance.  Blocking for future grab bars shall be continuous behind the bar location and sized to accommodate the grab bars required by ANSI A117.1-2009.</w:t>
      </w:r>
    </w:p>
    <w:p w:rsidR="00EF4EF9" w:rsidRPr="00411B94" w:rsidRDefault="00EF4EF9" w:rsidP="00D2293B">
      <w:pPr>
        <w:pStyle w:val="Header"/>
        <w:tabs>
          <w:tab w:val="clear" w:pos="4320"/>
          <w:tab w:val="clear" w:pos="8640"/>
        </w:tabs>
        <w:spacing w:line="240" w:lineRule="auto"/>
        <w:ind w:left="720" w:hanging="360"/>
        <w:rPr>
          <w:sz w:val="22"/>
          <w:szCs w:val="22"/>
          <w:u w:color="FF0000"/>
        </w:rPr>
      </w:pPr>
    </w:p>
    <w:p w:rsidR="0038642C" w:rsidRPr="00EF4EF9" w:rsidRDefault="005F4E22" w:rsidP="00C57E75">
      <w:pPr>
        <w:spacing w:line="240" w:lineRule="auto"/>
        <w:ind w:left="720" w:hanging="360"/>
        <w:rPr>
          <w:u w:color="FF0000"/>
        </w:rPr>
      </w:pPr>
      <w:r>
        <w:rPr>
          <w:sz w:val="22"/>
          <w:szCs w:val="22"/>
          <w:u w:color="FF0000"/>
        </w:rPr>
        <w:t>5</w:t>
      </w:r>
      <w:r w:rsidR="00F54F78" w:rsidRPr="00411B94">
        <w:rPr>
          <w:sz w:val="22"/>
          <w:szCs w:val="22"/>
          <w:u w:color="FF0000"/>
        </w:rPr>
        <w:t xml:space="preserve">.  Phase </w:t>
      </w:r>
      <w:proofErr w:type="gramStart"/>
      <w:r w:rsidR="000A01DC" w:rsidRPr="00411B94">
        <w:rPr>
          <w:sz w:val="22"/>
          <w:szCs w:val="22"/>
          <w:u w:color="FF0000"/>
        </w:rPr>
        <w:t>I</w:t>
      </w:r>
      <w:proofErr w:type="gramEnd"/>
      <w:r w:rsidR="000A01DC" w:rsidRPr="00411B94">
        <w:rPr>
          <w:sz w:val="22"/>
          <w:szCs w:val="22"/>
          <w:u w:color="FF0000"/>
        </w:rPr>
        <w:t xml:space="preserve"> </w:t>
      </w:r>
      <w:r w:rsidR="00F54F78" w:rsidRPr="00411B94">
        <w:rPr>
          <w:sz w:val="22"/>
          <w:szCs w:val="22"/>
          <w:u w:color="FF0000"/>
        </w:rPr>
        <w:t>Reports</w:t>
      </w:r>
      <w:r w:rsidR="004B3478" w:rsidRPr="00411B94">
        <w:rPr>
          <w:sz w:val="22"/>
          <w:szCs w:val="22"/>
          <w:u w:color="FF0000"/>
        </w:rPr>
        <w:t xml:space="preserve"> </w:t>
      </w:r>
      <w:r w:rsidR="006A0F14" w:rsidRPr="00411B94">
        <w:rPr>
          <w:sz w:val="22"/>
          <w:szCs w:val="22"/>
        </w:rPr>
        <w:t xml:space="preserve">– </w:t>
      </w:r>
      <w:r w:rsidR="00F54F78" w:rsidRPr="00411B94">
        <w:rPr>
          <w:sz w:val="22"/>
          <w:szCs w:val="22"/>
          <w:u w:color="FF0000"/>
        </w:rPr>
        <w:t xml:space="preserve">A Phase </w:t>
      </w:r>
      <w:r w:rsidR="000A01DC" w:rsidRPr="00411B94">
        <w:rPr>
          <w:sz w:val="22"/>
          <w:szCs w:val="22"/>
          <w:u w:color="FF0000"/>
        </w:rPr>
        <w:t xml:space="preserve">I </w:t>
      </w:r>
      <w:r w:rsidR="00F54F78" w:rsidRPr="00411B94">
        <w:rPr>
          <w:sz w:val="22"/>
          <w:szCs w:val="22"/>
          <w:u w:color="FF0000"/>
        </w:rPr>
        <w:t xml:space="preserve">Environmental Site Assessment prepared in accordance with </w:t>
      </w:r>
      <w:smartTag w:uri="urn:schemas-microsoft-com:office:smarttags" w:element="stockticker">
        <w:r w:rsidR="00F54F78" w:rsidRPr="00411B94">
          <w:rPr>
            <w:sz w:val="22"/>
            <w:szCs w:val="22"/>
            <w:u w:color="FF0000"/>
          </w:rPr>
          <w:t>ASTM</w:t>
        </w:r>
      </w:smartTag>
      <w:r w:rsidR="00F4219B" w:rsidRPr="00411B94">
        <w:rPr>
          <w:sz w:val="22"/>
          <w:szCs w:val="22"/>
          <w:u w:color="FF0000"/>
        </w:rPr>
        <w:t xml:space="preserve">E </w:t>
      </w:r>
      <w:r w:rsidR="00F54F78" w:rsidRPr="00411B94">
        <w:rPr>
          <w:sz w:val="22"/>
          <w:szCs w:val="22"/>
          <w:u w:color="FF0000"/>
        </w:rPr>
        <w:t>1527</w:t>
      </w:r>
      <w:r w:rsidR="00CF5A87" w:rsidRPr="00411B94">
        <w:rPr>
          <w:sz w:val="22"/>
          <w:szCs w:val="22"/>
          <w:u w:color="FF0000"/>
        </w:rPr>
        <w:t>-</w:t>
      </w:r>
      <w:r w:rsidR="001B4680" w:rsidRPr="00411B94">
        <w:rPr>
          <w:sz w:val="22"/>
          <w:szCs w:val="22"/>
          <w:u w:color="FF0000"/>
        </w:rPr>
        <w:t xml:space="preserve">13 </w:t>
      </w:r>
      <w:r w:rsidR="00F54F78" w:rsidRPr="00411B94">
        <w:rPr>
          <w:sz w:val="22"/>
          <w:szCs w:val="22"/>
          <w:u w:color="FF0000"/>
        </w:rPr>
        <w:t xml:space="preserve">and the </w:t>
      </w:r>
      <w:r w:rsidR="00292EF5">
        <w:rPr>
          <w:sz w:val="22"/>
          <w:szCs w:val="22"/>
          <w:u w:color="FF0000"/>
        </w:rPr>
        <w:t>Agency</w:t>
      </w:r>
      <w:r w:rsidR="00F54F78" w:rsidRPr="00411B94">
        <w:rPr>
          <w:sz w:val="22"/>
          <w:szCs w:val="22"/>
          <w:u w:color="FF0000"/>
        </w:rPr>
        <w:t xml:space="preserve"> requirements found in the Submission Guide for Architects is required for all developments.  The report cannot be more than 12 months old at the time the </w:t>
      </w:r>
      <w:r w:rsidR="005467F9" w:rsidRPr="00411B94">
        <w:rPr>
          <w:sz w:val="22"/>
          <w:szCs w:val="22"/>
          <w:u w:color="FF0000"/>
        </w:rPr>
        <w:t>A</w:t>
      </w:r>
      <w:r w:rsidR="00F54F78" w:rsidRPr="00411B94">
        <w:rPr>
          <w:sz w:val="22"/>
          <w:szCs w:val="22"/>
          <w:u w:color="FF0000"/>
        </w:rPr>
        <w:t xml:space="preserve">pplication is submitted.  </w:t>
      </w:r>
      <w:r w:rsidR="00BA2159" w:rsidRPr="00411B94">
        <w:rPr>
          <w:sz w:val="22"/>
          <w:szCs w:val="22"/>
          <w:u w:color="FF0000"/>
        </w:rPr>
        <w:t xml:space="preserve">An update </w:t>
      </w:r>
      <w:r w:rsidR="001B4680" w:rsidRPr="00411B94">
        <w:rPr>
          <w:sz w:val="22"/>
          <w:szCs w:val="22"/>
          <w:u w:color="FF0000"/>
        </w:rPr>
        <w:t xml:space="preserve">report </w:t>
      </w:r>
      <w:r w:rsidR="00BA2159" w:rsidRPr="00411B94">
        <w:rPr>
          <w:sz w:val="22"/>
          <w:szCs w:val="22"/>
          <w:u w:color="FF0000"/>
        </w:rPr>
        <w:t xml:space="preserve">provided by the original report’s environmental consultant may be provided when the original report is between 12 and 24 months old at the time the </w:t>
      </w:r>
      <w:r w:rsidR="00BC6154" w:rsidRPr="00411B94">
        <w:rPr>
          <w:sz w:val="22"/>
          <w:szCs w:val="22"/>
          <w:u w:color="FF0000"/>
        </w:rPr>
        <w:t>A</w:t>
      </w:r>
      <w:r w:rsidR="00BA2159" w:rsidRPr="00411B94">
        <w:rPr>
          <w:sz w:val="22"/>
          <w:szCs w:val="22"/>
          <w:u w:color="FF0000"/>
        </w:rPr>
        <w:t xml:space="preserve">pplication is submitted. </w:t>
      </w:r>
      <w:r w:rsidR="00722338" w:rsidRPr="00411B94">
        <w:rPr>
          <w:sz w:val="22"/>
          <w:szCs w:val="22"/>
          <w:u w:color="FF0000"/>
        </w:rPr>
        <w:t xml:space="preserve">Only the executive summary of the Phase I report shall be submitted in the </w:t>
      </w:r>
      <w:r w:rsidR="005467F9" w:rsidRPr="00411B94">
        <w:rPr>
          <w:sz w:val="22"/>
          <w:szCs w:val="22"/>
          <w:u w:color="FF0000"/>
        </w:rPr>
        <w:t>A</w:t>
      </w:r>
      <w:r w:rsidR="00722338" w:rsidRPr="00411B94">
        <w:rPr>
          <w:sz w:val="22"/>
          <w:szCs w:val="22"/>
          <w:u w:color="FF0000"/>
        </w:rPr>
        <w:t xml:space="preserve">pplication. </w:t>
      </w:r>
      <w:r w:rsidR="00F54F78" w:rsidRPr="00411B94">
        <w:rPr>
          <w:sz w:val="22"/>
          <w:szCs w:val="22"/>
          <w:u w:color="FF0000"/>
        </w:rPr>
        <w:t xml:space="preserve">The </w:t>
      </w:r>
      <w:r w:rsidR="00722338" w:rsidRPr="00411B94">
        <w:rPr>
          <w:sz w:val="22"/>
          <w:szCs w:val="22"/>
          <w:u w:color="FF0000"/>
        </w:rPr>
        <w:t xml:space="preserve">summary </w:t>
      </w:r>
      <w:r w:rsidR="00F54F78" w:rsidRPr="00411B94">
        <w:rPr>
          <w:sz w:val="22"/>
          <w:szCs w:val="22"/>
          <w:u w:color="FF0000"/>
        </w:rPr>
        <w:t xml:space="preserve">shall be accompanied by a certification from the sponsor stating that any issues raised in the environmental review have been reviewed and budgeted </w:t>
      </w:r>
      <w:r w:rsidR="0071479C" w:rsidRPr="00411B94">
        <w:rPr>
          <w:sz w:val="22"/>
          <w:szCs w:val="22"/>
          <w:u w:color="FF0000"/>
        </w:rPr>
        <w:t xml:space="preserve">for </w:t>
      </w:r>
      <w:r w:rsidR="00F54F78" w:rsidRPr="00411B94">
        <w:rPr>
          <w:sz w:val="22"/>
          <w:szCs w:val="22"/>
          <w:u w:color="FF0000"/>
        </w:rPr>
        <w:t xml:space="preserve">accordingly in the development budget. </w:t>
      </w:r>
      <w:r w:rsidR="00433033" w:rsidRPr="00411B94">
        <w:rPr>
          <w:sz w:val="22"/>
          <w:szCs w:val="22"/>
          <w:u w:color="FF0000"/>
        </w:rPr>
        <w:t xml:space="preserve">For </w:t>
      </w:r>
      <w:r w:rsidR="008B0583" w:rsidRPr="00411B94">
        <w:rPr>
          <w:sz w:val="22"/>
          <w:szCs w:val="22"/>
          <w:u w:color="FF0000"/>
        </w:rPr>
        <w:t>existing buildings</w:t>
      </w:r>
      <w:r w:rsidR="000A01DC" w:rsidRPr="00411B94">
        <w:rPr>
          <w:sz w:val="22"/>
          <w:szCs w:val="22"/>
          <w:u w:color="FF0000"/>
        </w:rPr>
        <w:t xml:space="preserve"> </w:t>
      </w:r>
      <w:r w:rsidR="002D026B" w:rsidRPr="00411B94">
        <w:rPr>
          <w:sz w:val="22"/>
          <w:szCs w:val="22"/>
          <w:u w:color="FF0000"/>
        </w:rPr>
        <w:t>scheduled for rehabilitation</w:t>
      </w:r>
      <w:r w:rsidR="000A01DC" w:rsidRPr="00411B94">
        <w:rPr>
          <w:sz w:val="22"/>
          <w:szCs w:val="22"/>
          <w:u w:color="FF0000"/>
        </w:rPr>
        <w:t xml:space="preserve"> or preservation developments</w:t>
      </w:r>
      <w:r w:rsidR="00433033" w:rsidRPr="00411B94">
        <w:rPr>
          <w:sz w:val="22"/>
          <w:szCs w:val="22"/>
          <w:u w:color="FF0000"/>
        </w:rPr>
        <w:t xml:space="preserve">, the Phase I report must also include the results from the </w:t>
      </w:r>
      <w:r w:rsidR="00433033" w:rsidRPr="00411B94">
        <w:rPr>
          <w:sz w:val="22"/>
          <w:szCs w:val="22"/>
          <w:u w:color="FF0000"/>
        </w:rPr>
        <w:lastRenderedPageBreak/>
        <w:t xml:space="preserve">following tests:  lead in water, lead-based paint, asbestos and radon.  </w:t>
      </w:r>
      <w:r w:rsidR="00F65AB5" w:rsidRPr="00411B94">
        <w:rPr>
          <w:sz w:val="22"/>
          <w:szCs w:val="22"/>
          <w:u w:color="FF0000"/>
        </w:rPr>
        <w:t xml:space="preserve">Cost estimates for any remediation work shall be provided and included </w:t>
      </w:r>
      <w:r w:rsidR="00722338" w:rsidRPr="00411B94">
        <w:rPr>
          <w:sz w:val="22"/>
          <w:szCs w:val="22"/>
          <w:u w:color="FF0000"/>
        </w:rPr>
        <w:t xml:space="preserve">with </w:t>
      </w:r>
      <w:r w:rsidR="00F65AB5" w:rsidRPr="00411B94">
        <w:rPr>
          <w:sz w:val="22"/>
          <w:szCs w:val="22"/>
          <w:u w:color="FF0000"/>
        </w:rPr>
        <w:t xml:space="preserve">the </w:t>
      </w:r>
      <w:r w:rsidR="00722338" w:rsidRPr="00411B94">
        <w:rPr>
          <w:sz w:val="22"/>
          <w:szCs w:val="22"/>
          <w:u w:color="FF0000"/>
        </w:rPr>
        <w:t xml:space="preserve">Phase I </w:t>
      </w:r>
      <w:r w:rsidR="00F65AB5" w:rsidRPr="00411B94">
        <w:rPr>
          <w:sz w:val="22"/>
          <w:szCs w:val="22"/>
          <w:u w:color="FF0000"/>
        </w:rPr>
        <w:t>executive summary.</w:t>
      </w:r>
    </w:p>
    <w:p w:rsidR="005B6B8D" w:rsidRPr="00411B94" w:rsidRDefault="005B6B8D" w:rsidP="005B6B8D">
      <w:pPr>
        <w:widowControl/>
        <w:adjustRightInd/>
        <w:spacing w:line="240" w:lineRule="auto"/>
        <w:jc w:val="left"/>
        <w:textAlignment w:val="auto"/>
        <w:rPr>
          <w:u w:color="FF0000"/>
        </w:rPr>
      </w:pPr>
    </w:p>
    <w:p w:rsidR="00B5691E" w:rsidRPr="00411B94" w:rsidRDefault="005F4E22" w:rsidP="005B6B8D">
      <w:pPr>
        <w:widowControl/>
        <w:adjustRightInd/>
        <w:spacing w:line="240" w:lineRule="auto"/>
        <w:ind w:firstLine="360"/>
        <w:jc w:val="left"/>
        <w:textAlignment w:val="auto"/>
        <w:rPr>
          <w:sz w:val="22"/>
          <w:szCs w:val="22"/>
          <w:u w:color="FF0000"/>
        </w:rPr>
      </w:pPr>
      <w:r>
        <w:rPr>
          <w:sz w:val="22"/>
          <w:szCs w:val="22"/>
          <w:u w:color="FF0000"/>
        </w:rPr>
        <w:t>6</w:t>
      </w:r>
      <w:r w:rsidR="00AB5985" w:rsidRPr="00411B94">
        <w:rPr>
          <w:sz w:val="22"/>
          <w:szCs w:val="22"/>
          <w:u w:color="FF0000"/>
        </w:rPr>
        <w:t xml:space="preserve">.  </w:t>
      </w:r>
      <w:r w:rsidR="00661787" w:rsidRPr="00411B94">
        <w:rPr>
          <w:sz w:val="22"/>
          <w:szCs w:val="22"/>
          <w:u w:color="FF0000"/>
        </w:rPr>
        <w:t xml:space="preserve"> </w:t>
      </w:r>
      <w:r w:rsidR="00F74D97" w:rsidRPr="00411B94">
        <w:rPr>
          <w:sz w:val="22"/>
          <w:szCs w:val="22"/>
          <w:u w:color="FF0000"/>
        </w:rPr>
        <w:t xml:space="preserve">Development Sustainability and </w:t>
      </w:r>
      <w:r w:rsidR="00AB5985" w:rsidRPr="00411B94">
        <w:rPr>
          <w:sz w:val="22"/>
          <w:szCs w:val="22"/>
          <w:u w:color="FF0000"/>
        </w:rPr>
        <w:t xml:space="preserve">Energy Conservation </w:t>
      </w:r>
      <w:r w:rsidR="00F74D97" w:rsidRPr="00411B94">
        <w:rPr>
          <w:sz w:val="22"/>
          <w:szCs w:val="22"/>
          <w:u w:color="FF0000"/>
        </w:rPr>
        <w:t xml:space="preserve">Measures </w:t>
      </w:r>
      <w:r w:rsidR="00AB5985" w:rsidRPr="00411B94">
        <w:rPr>
          <w:sz w:val="22"/>
          <w:szCs w:val="22"/>
          <w:u w:color="FF0000"/>
        </w:rPr>
        <w:t xml:space="preserve">– </w:t>
      </w:r>
    </w:p>
    <w:p w:rsidR="00F74D97" w:rsidRPr="00411B94" w:rsidRDefault="00F74D97" w:rsidP="00E94493">
      <w:pPr>
        <w:spacing w:line="240" w:lineRule="auto"/>
        <w:ind w:left="360"/>
        <w:rPr>
          <w:u w:color="FF0000"/>
        </w:rPr>
      </w:pPr>
    </w:p>
    <w:p w:rsidR="005F4E22" w:rsidRPr="00EF4EF9" w:rsidRDefault="007E4C55" w:rsidP="005F4E22">
      <w:pPr>
        <w:pStyle w:val="ListParagraph"/>
        <w:numPr>
          <w:ilvl w:val="0"/>
          <w:numId w:val="54"/>
        </w:numPr>
        <w:tabs>
          <w:tab w:val="left" w:pos="720"/>
        </w:tabs>
        <w:spacing w:line="240" w:lineRule="auto"/>
        <w:rPr>
          <w:rFonts w:ascii="Arial" w:hAnsi="Arial" w:cs="Arial"/>
        </w:rPr>
      </w:pPr>
      <w:r w:rsidRPr="00411B94">
        <w:rPr>
          <w:sz w:val="22"/>
          <w:szCs w:val="22"/>
          <w:u w:color="FF0000"/>
        </w:rPr>
        <w:t xml:space="preserve">For </w:t>
      </w:r>
      <w:r w:rsidR="00AF1F86">
        <w:rPr>
          <w:sz w:val="22"/>
          <w:szCs w:val="22"/>
          <w:u w:color="FF0000"/>
        </w:rPr>
        <w:t>2016</w:t>
      </w:r>
      <w:r w:rsidRPr="00411B94">
        <w:rPr>
          <w:sz w:val="22"/>
          <w:szCs w:val="22"/>
          <w:u w:color="FF0000"/>
        </w:rPr>
        <w:t xml:space="preserve">, all new construction and rehabilitation developments must meet the mandatory </w:t>
      </w:r>
      <w:r w:rsidR="00793F44">
        <w:rPr>
          <w:sz w:val="22"/>
          <w:szCs w:val="22"/>
          <w:u w:color="FF0000"/>
        </w:rPr>
        <w:br/>
      </w:r>
      <w:r w:rsidRPr="00411B94">
        <w:rPr>
          <w:sz w:val="22"/>
          <w:szCs w:val="22"/>
          <w:u w:color="FF0000"/>
        </w:rPr>
        <w:t xml:space="preserve">measures outlined in the </w:t>
      </w:r>
      <w:r w:rsidR="0002231C">
        <w:rPr>
          <w:sz w:val="22"/>
          <w:szCs w:val="22"/>
          <w:u w:color="FF0000"/>
        </w:rPr>
        <w:t>2015</w:t>
      </w:r>
      <w:r w:rsidR="0002231C" w:rsidRPr="00411B94">
        <w:rPr>
          <w:sz w:val="22"/>
          <w:szCs w:val="22"/>
          <w:u w:color="FF0000"/>
        </w:rPr>
        <w:t xml:space="preserve"> </w:t>
      </w:r>
      <w:r w:rsidRPr="00411B94">
        <w:rPr>
          <w:sz w:val="22"/>
          <w:szCs w:val="22"/>
          <w:u w:color="FF0000"/>
        </w:rPr>
        <w:t>Enterprise Green Communities Crite</w:t>
      </w:r>
      <w:r w:rsidR="00376F47" w:rsidRPr="00411B94">
        <w:rPr>
          <w:sz w:val="22"/>
          <w:szCs w:val="22"/>
          <w:u w:color="FF0000"/>
        </w:rPr>
        <w:t>ria</w:t>
      </w:r>
      <w:r w:rsidR="00702F23" w:rsidRPr="00411B94">
        <w:rPr>
          <w:sz w:val="22"/>
          <w:szCs w:val="22"/>
          <w:u w:color="FF0000"/>
        </w:rPr>
        <w:t xml:space="preserve"> </w:t>
      </w:r>
      <w:r w:rsidR="00376F47" w:rsidRPr="00411B94">
        <w:rPr>
          <w:sz w:val="22"/>
          <w:szCs w:val="22"/>
          <w:u w:color="FF0000"/>
        </w:rPr>
        <w:t>(see www.enterprisecommunity.com/criteria)</w:t>
      </w:r>
      <w:r w:rsidR="007D5711" w:rsidRPr="00411B94">
        <w:rPr>
          <w:sz w:val="22"/>
          <w:szCs w:val="22"/>
          <w:u w:color="FF0000"/>
        </w:rPr>
        <w:t xml:space="preserve"> </w:t>
      </w:r>
      <w:r w:rsidRPr="00411B94">
        <w:rPr>
          <w:sz w:val="22"/>
          <w:szCs w:val="22"/>
          <w:u w:color="FF0000"/>
        </w:rPr>
        <w:t xml:space="preserve">which set forth minimum standards for design, location, site improvements, water conservation, energy efficiency, </w:t>
      </w:r>
      <w:proofErr w:type="gramStart"/>
      <w:r w:rsidRPr="00411B94">
        <w:rPr>
          <w:sz w:val="22"/>
          <w:szCs w:val="22"/>
          <w:u w:color="FF0000"/>
        </w:rPr>
        <w:t>material</w:t>
      </w:r>
      <w:r w:rsidR="00643ACA" w:rsidRPr="00411B94">
        <w:rPr>
          <w:sz w:val="22"/>
          <w:szCs w:val="22"/>
          <w:u w:color="FF0000"/>
        </w:rPr>
        <w:t>s</w:t>
      </w:r>
      <w:proofErr w:type="gramEnd"/>
      <w:r w:rsidRPr="00411B94">
        <w:rPr>
          <w:sz w:val="22"/>
          <w:szCs w:val="22"/>
          <w:u w:color="FF0000"/>
        </w:rPr>
        <w:t xml:space="preserve"> beneficial to the environment, healthy living, and operations and maintenance of the development.</w:t>
      </w:r>
      <w:r w:rsidR="005F4E22" w:rsidRPr="005F4E22">
        <w:rPr>
          <w:sz w:val="22"/>
          <w:szCs w:val="22"/>
          <w:u w:color="FF0000"/>
        </w:rPr>
        <w:t xml:space="preserve"> </w:t>
      </w:r>
      <w:r w:rsidR="005F4E22">
        <w:rPr>
          <w:sz w:val="22"/>
          <w:szCs w:val="22"/>
          <w:u w:color="FF0000"/>
        </w:rPr>
        <w:t>Preservation developments shall meet the mandatory measures found in the “Design Architect’s/Applicant’s Certification of Threshold Criteria” in the Guidelines.</w:t>
      </w:r>
    </w:p>
    <w:p w:rsidR="00643ACA" w:rsidRPr="00411B94" w:rsidRDefault="00643ACA" w:rsidP="00643ACA">
      <w:pPr>
        <w:tabs>
          <w:tab w:val="left" w:pos="720"/>
        </w:tabs>
        <w:spacing w:line="240" w:lineRule="auto"/>
        <w:ind w:left="1080"/>
        <w:rPr>
          <w:rFonts w:ascii="Arial" w:hAnsi="Arial" w:cs="Arial"/>
        </w:rPr>
      </w:pPr>
    </w:p>
    <w:p w:rsidR="00932819" w:rsidRPr="00EF4EF9" w:rsidRDefault="007E4C55">
      <w:pPr>
        <w:pStyle w:val="ListParagraph"/>
        <w:numPr>
          <w:ilvl w:val="0"/>
          <w:numId w:val="54"/>
        </w:numPr>
        <w:tabs>
          <w:tab w:val="left" w:pos="720"/>
        </w:tabs>
        <w:spacing w:line="240" w:lineRule="auto"/>
        <w:rPr>
          <w:rFonts w:ascii="Arial" w:hAnsi="Arial" w:cs="Arial"/>
        </w:rPr>
      </w:pPr>
      <w:r w:rsidRPr="00411B94">
        <w:rPr>
          <w:sz w:val="22"/>
          <w:szCs w:val="22"/>
          <w:u w:color="FF0000"/>
        </w:rPr>
        <w:t xml:space="preserve">Additionally, </w:t>
      </w:r>
      <w:r w:rsidRPr="00411B94">
        <w:rPr>
          <w:sz w:val="22"/>
          <w:szCs w:val="22"/>
        </w:rPr>
        <w:t xml:space="preserve">for new construction and rehabilitation developments, </w:t>
      </w:r>
      <w:r w:rsidRPr="00411B94">
        <w:rPr>
          <w:rFonts w:cs="Arial"/>
          <w:sz w:val="22"/>
          <w:szCs w:val="22"/>
        </w:rPr>
        <w:t xml:space="preserve">the overall U-value of the exterior building envelope must exceed the requirements of the 2009 International Energy Conservation Code Chapter 4 </w:t>
      </w:r>
      <w:r w:rsidR="005F4E22">
        <w:rPr>
          <w:rFonts w:cs="Arial"/>
          <w:sz w:val="22"/>
          <w:szCs w:val="22"/>
        </w:rPr>
        <w:t xml:space="preserve">by 10% </w:t>
      </w:r>
      <w:r w:rsidRPr="00411B94">
        <w:rPr>
          <w:rFonts w:cs="Arial"/>
          <w:sz w:val="22"/>
          <w:szCs w:val="22"/>
        </w:rPr>
        <w:t>for buildings three stories or less in height</w:t>
      </w:r>
      <w:r w:rsidR="00997179">
        <w:rPr>
          <w:rFonts w:cs="Arial"/>
          <w:sz w:val="22"/>
          <w:szCs w:val="22"/>
        </w:rPr>
        <w:t xml:space="preserve"> </w:t>
      </w:r>
      <w:r w:rsidRPr="00411B94">
        <w:rPr>
          <w:rFonts w:cs="Arial"/>
          <w:sz w:val="22"/>
          <w:szCs w:val="22"/>
        </w:rPr>
        <w:t xml:space="preserve">as verified by a </w:t>
      </w:r>
      <w:proofErr w:type="spellStart"/>
      <w:r w:rsidRPr="00411B94">
        <w:rPr>
          <w:rFonts w:cs="Arial"/>
          <w:sz w:val="22"/>
          <w:szCs w:val="22"/>
        </w:rPr>
        <w:t>REScheck</w:t>
      </w:r>
      <w:proofErr w:type="spellEnd"/>
      <w:r w:rsidRPr="00411B94">
        <w:rPr>
          <w:rFonts w:cs="Arial"/>
          <w:sz w:val="22"/>
          <w:szCs w:val="22"/>
        </w:rPr>
        <w:t xml:space="preserve"> certificate</w:t>
      </w:r>
      <w:r w:rsidR="005F4E22">
        <w:rPr>
          <w:rFonts w:cs="Arial"/>
          <w:sz w:val="22"/>
          <w:szCs w:val="22"/>
        </w:rPr>
        <w:t>.</w:t>
      </w:r>
      <w:r w:rsidRPr="00411B94">
        <w:rPr>
          <w:rFonts w:cs="Arial"/>
          <w:sz w:val="22"/>
          <w:szCs w:val="22"/>
        </w:rPr>
        <w:t xml:space="preserve"> </w:t>
      </w:r>
      <w:r w:rsidR="005F4E22">
        <w:rPr>
          <w:rFonts w:cs="Arial"/>
          <w:sz w:val="22"/>
          <w:szCs w:val="22"/>
        </w:rPr>
        <w:t xml:space="preserve">Buildings four or more stories in height must exceed the requirements of the 2009 International Energy Conservation Code Chapter 5 by 3%, as verified by a </w:t>
      </w:r>
      <w:proofErr w:type="spellStart"/>
      <w:r w:rsidR="005F4E22">
        <w:rPr>
          <w:rFonts w:cs="Arial"/>
          <w:sz w:val="22"/>
          <w:szCs w:val="22"/>
        </w:rPr>
        <w:t>COMcheck</w:t>
      </w:r>
      <w:proofErr w:type="spellEnd"/>
      <w:r w:rsidR="005F4E22">
        <w:rPr>
          <w:rFonts w:cs="Arial"/>
          <w:sz w:val="22"/>
          <w:szCs w:val="22"/>
        </w:rPr>
        <w:t xml:space="preserve"> certificate.</w:t>
      </w:r>
      <w:r w:rsidR="005F4E22" w:rsidRPr="00411B94">
        <w:rPr>
          <w:rFonts w:cs="Arial"/>
          <w:sz w:val="22"/>
          <w:szCs w:val="22"/>
        </w:rPr>
        <w:t xml:space="preserve"> </w:t>
      </w:r>
      <w:r w:rsidRPr="00411B94">
        <w:rPr>
          <w:rFonts w:cs="Arial"/>
          <w:sz w:val="22"/>
          <w:szCs w:val="22"/>
        </w:rPr>
        <w:t xml:space="preserve"> Air sealing of the exterior building envelope and attic plane shall be included. Trade-offs available in the </w:t>
      </w:r>
      <w:proofErr w:type="spellStart"/>
      <w:r w:rsidRPr="00411B94">
        <w:rPr>
          <w:rFonts w:cs="Arial"/>
          <w:sz w:val="22"/>
          <w:szCs w:val="22"/>
        </w:rPr>
        <w:t>REScheck</w:t>
      </w:r>
      <w:proofErr w:type="spellEnd"/>
      <w:r w:rsidRPr="00411B94">
        <w:rPr>
          <w:rFonts w:cs="Arial"/>
          <w:sz w:val="22"/>
          <w:szCs w:val="22"/>
        </w:rPr>
        <w:t xml:space="preserve"> or </w:t>
      </w:r>
      <w:proofErr w:type="spellStart"/>
      <w:r w:rsidRPr="00411B94">
        <w:rPr>
          <w:rFonts w:cs="Arial"/>
          <w:sz w:val="22"/>
          <w:szCs w:val="22"/>
        </w:rPr>
        <w:t>COMcheck</w:t>
      </w:r>
      <w:proofErr w:type="spellEnd"/>
      <w:r w:rsidRPr="00411B94">
        <w:rPr>
          <w:rFonts w:cs="Arial"/>
          <w:sz w:val="22"/>
          <w:szCs w:val="22"/>
        </w:rPr>
        <w:t xml:space="preserve"> software for mechanical equipment will not be allowed. (Not applicable to preservation developments.)</w:t>
      </w:r>
    </w:p>
    <w:p w:rsidR="007909C6" w:rsidRPr="00411B94" w:rsidRDefault="007909C6" w:rsidP="007909C6">
      <w:pPr>
        <w:pStyle w:val="ListParagraph"/>
        <w:spacing w:line="240" w:lineRule="auto"/>
        <w:ind w:left="1440"/>
      </w:pPr>
    </w:p>
    <w:p w:rsidR="00BC2A92" w:rsidRPr="00EF4EF9" w:rsidRDefault="00BC2A92" w:rsidP="00BC2A92">
      <w:pPr>
        <w:pStyle w:val="BodyText"/>
        <w:numPr>
          <w:ilvl w:val="0"/>
          <w:numId w:val="24"/>
        </w:numPr>
        <w:tabs>
          <w:tab w:val="clear" w:pos="720"/>
          <w:tab w:val="num" w:pos="1440"/>
        </w:tabs>
        <w:spacing w:after="120" w:line="240" w:lineRule="auto"/>
        <w:ind w:left="1440" w:right="0"/>
        <w:rPr>
          <w:sz w:val="20"/>
          <w:u w:color="FF0000"/>
        </w:rPr>
      </w:pPr>
      <w:r w:rsidRPr="00411B94">
        <w:rPr>
          <w:sz w:val="22"/>
          <w:szCs w:val="22"/>
        </w:rPr>
        <w:t xml:space="preserve">In new construction and rehabilitation developments, all appliances, </w:t>
      </w:r>
      <w:r w:rsidR="00C5422B" w:rsidRPr="00411B94">
        <w:rPr>
          <w:sz w:val="22"/>
          <w:szCs w:val="22"/>
        </w:rPr>
        <w:t xml:space="preserve">HVAC equipment with a capacity less than 60,000 </w:t>
      </w:r>
      <w:proofErr w:type="spellStart"/>
      <w:r w:rsidR="00C5422B" w:rsidRPr="00411B94">
        <w:rPr>
          <w:sz w:val="22"/>
          <w:szCs w:val="22"/>
        </w:rPr>
        <w:t>btuh</w:t>
      </w:r>
      <w:proofErr w:type="spellEnd"/>
      <w:r w:rsidR="00C5422B" w:rsidRPr="00411B94">
        <w:rPr>
          <w:sz w:val="22"/>
          <w:szCs w:val="22"/>
        </w:rPr>
        <w:t>, gas fired water heaters,</w:t>
      </w:r>
      <w:r w:rsidR="00A04436" w:rsidRPr="00411B94">
        <w:rPr>
          <w:sz w:val="22"/>
          <w:szCs w:val="22"/>
        </w:rPr>
        <w:t xml:space="preserve"> </w:t>
      </w:r>
      <w:r w:rsidRPr="00411B94">
        <w:rPr>
          <w:sz w:val="22"/>
          <w:szCs w:val="22"/>
        </w:rPr>
        <w:t>windows, ceiling fans, exhaust fans</w:t>
      </w:r>
      <w:r w:rsidR="00702F23" w:rsidRPr="00411B94">
        <w:rPr>
          <w:sz w:val="22"/>
          <w:szCs w:val="22"/>
        </w:rPr>
        <w:t xml:space="preserve">, </w:t>
      </w:r>
      <w:r w:rsidR="00C5422B" w:rsidRPr="00411B94">
        <w:rPr>
          <w:sz w:val="22"/>
          <w:szCs w:val="22"/>
        </w:rPr>
        <w:t>range hoods</w:t>
      </w:r>
      <w:r w:rsidRPr="00411B94">
        <w:rPr>
          <w:sz w:val="22"/>
          <w:szCs w:val="22"/>
        </w:rPr>
        <w:t xml:space="preserve"> and exit signs shall be Energy Star® labeled when such equipment and appliances exist.  (Exceptions:  programmable thermostats do not need to be provided, and windows in buildings over three stories in height may comply instead with ASHRAE Standard 189.1-2009.) (Packaged terminal air conditioners (PTACs) and packaged terminal heat pumps (PTHPs) may only be used if it can be proven that they comply with the </w:t>
      </w:r>
      <w:r w:rsidR="00316A65" w:rsidRPr="00411B94">
        <w:rPr>
          <w:sz w:val="22"/>
          <w:szCs w:val="22"/>
        </w:rPr>
        <w:t xml:space="preserve">prescriptive </w:t>
      </w:r>
      <w:r w:rsidRPr="00411B94">
        <w:rPr>
          <w:sz w:val="22"/>
          <w:szCs w:val="22"/>
        </w:rPr>
        <w:t>requirements of Energy Star ®Version 3.0</w:t>
      </w:r>
      <w:r w:rsidR="00316A65" w:rsidRPr="00411B94">
        <w:rPr>
          <w:sz w:val="22"/>
          <w:szCs w:val="22"/>
        </w:rPr>
        <w:t xml:space="preserve"> for air-source </w:t>
      </w:r>
      <w:r w:rsidR="00EF040A" w:rsidRPr="00411B94">
        <w:rPr>
          <w:sz w:val="22"/>
          <w:szCs w:val="22"/>
        </w:rPr>
        <w:t>equipment</w:t>
      </w:r>
      <w:r w:rsidRPr="00411B94">
        <w:rPr>
          <w:sz w:val="22"/>
          <w:szCs w:val="22"/>
        </w:rPr>
        <w:t>.)  In addition, 100% of the permanent room light fixtures in the dwelling units shall be equipped</w:t>
      </w:r>
      <w:r w:rsidRPr="00411B94">
        <w:rPr>
          <w:sz w:val="22"/>
          <w:szCs w:val="22"/>
          <w:u w:color="FF0000"/>
        </w:rPr>
        <w:t xml:space="preserve"> with compact fluorescent, LED bulbs, or high efficiency fluorescent with electronic ballasts; and 100% of the community room and common area corridor and stair lighting shall be fluorescent with electronic ballasts or shall utilize compact fluorescent or LED bulbs. </w:t>
      </w:r>
    </w:p>
    <w:p w:rsidR="00AB5985" w:rsidRPr="00411B94" w:rsidRDefault="00AB5985" w:rsidP="00E94493">
      <w:pPr>
        <w:spacing w:line="240" w:lineRule="auto"/>
        <w:ind w:left="720"/>
      </w:pPr>
    </w:p>
    <w:p w:rsidR="00AB5985" w:rsidRPr="00EF4EF9" w:rsidRDefault="00AB5985" w:rsidP="00643ACA">
      <w:pPr>
        <w:pStyle w:val="ListParagraph"/>
        <w:numPr>
          <w:ilvl w:val="0"/>
          <w:numId w:val="54"/>
        </w:numPr>
        <w:spacing w:after="120" w:line="240" w:lineRule="auto"/>
        <w:rPr>
          <w:u w:color="FF0000"/>
        </w:rPr>
      </w:pPr>
      <w:r w:rsidRPr="00411B94">
        <w:rPr>
          <w:sz w:val="22"/>
          <w:szCs w:val="22"/>
          <w:u w:color="FF0000"/>
        </w:rPr>
        <w:t xml:space="preserve">In preservation developments, existing refrigerators more than </w:t>
      </w:r>
      <w:r w:rsidR="005F4E22">
        <w:rPr>
          <w:sz w:val="22"/>
          <w:szCs w:val="22"/>
        </w:rPr>
        <w:t>15</w:t>
      </w:r>
      <w:r w:rsidR="005F4E22" w:rsidRPr="00411B94">
        <w:rPr>
          <w:sz w:val="22"/>
          <w:szCs w:val="22"/>
        </w:rPr>
        <w:t xml:space="preserve"> </w:t>
      </w:r>
      <w:r w:rsidRPr="00411B94">
        <w:rPr>
          <w:sz w:val="22"/>
          <w:szCs w:val="22"/>
        </w:rPr>
        <w:t>years old shall be replaced with Energy Star® labeled type</w:t>
      </w:r>
      <w:r w:rsidR="000E39A7" w:rsidRPr="00411B94">
        <w:rPr>
          <w:sz w:val="22"/>
          <w:szCs w:val="22"/>
        </w:rPr>
        <w:t>.</w:t>
      </w:r>
      <w:r w:rsidRPr="00411B94">
        <w:rPr>
          <w:sz w:val="22"/>
          <w:szCs w:val="22"/>
        </w:rPr>
        <w:t xml:space="preserve"> Existing heat pumps, air conditioning condensing units, and through-wall air conditioners more than </w:t>
      </w:r>
      <w:r w:rsidR="005F4E22">
        <w:rPr>
          <w:sz w:val="22"/>
          <w:szCs w:val="22"/>
        </w:rPr>
        <w:t>20</w:t>
      </w:r>
      <w:r w:rsidR="005F4E22" w:rsidRPr="00411B94">
        <w:rPr>
          <w:sz w:val="22"/>
          <w:szCs w:val="22"/>
        </w:rPr>
        <w:t xml:space="preserve"> </w:t>
      </w:r>
      <w:r w:rsidRPr="00411B94">
        <w:rPr>
          <w:sz w:val="22"/>
          <w:szCs w:val="22"/>
        </w:rPr>
        <w:t>years old shall be replaced</w:t>
      </w:r>
      <w:r w:rsidRPr="00411B94">
        <w:rPr>
          <w:sz w:val="22"/>
          <w:szCs w:val="22"/>
          <w:u w:color="FF0000"/>
        </w:rPr>
        <w:t xml:space="preserve"> with Energy Star® labeled type, when such equipment exists. Existing furnaces and boilers more than </w:t>
      </w:r>
      <w:r w:rsidR="005F4E22" w:rsidRPr="00793F44">
        <w:rPr>
          <w:sz w:val="22"/>
          <w:szCs w:val="22"/>
        </w:rPr>
        <w:t>25</w:t>
      </w:r>
      <w:r w:rsidR="005F4E22" w:rsidRPr="00411B94">
        <w:rPr>
          <w:sz w:val="22"/>
          <w:szCs w:val="22"/>
          <w:u w:color="FF0000"/>
        </w:rPr>
        <w:t xml:space="preserve"> </w:t>
      </w:r>
      <w:r w:rsidRPr="00411B94">
        <w:rPr>
          <w:sz w:val="22"/>
          <w:szCs w:val="22"/>
          <w:u w:color="FF0000"/>
        </w:rPr>
        <w:t>years old shall be replaced with Energy Star® labeled type, when such equipment exists.  (Programmable thermostats do not need to be provided</w:t>
      </w:r>
      <w:r w:rsidR="00BD6B95" w:rsidRPr="00411B94">
        <w:rPr>
          <w:sz w:val="22"/>
          <w:szCs w:val="22"/>
          <w:u w:color="FF0000"/>
        </w:rPr>
        <w:t>.</w:t>
      </w:r>
      <w:r w:rsidRPr="00411B94">
        <w:rPr>
          <w:sz w:val="22"/>
          <w:szCs w:val="22"/>
          <w:u w:color="FF0000"/>
        </w:rPr>
        <w:t xml:space="preserve">)   In addition, existing </w:t>
      </w:r>
      <w:r w:rsidR="0031422D" w:rsidRPr="00411B94">
        <w:rPr>
          <w:sz w:val="22"/>
          <w:szCs w:val="22"/>
          <w:u w:color="FF0000"/>
        </w:rPr>
        <w:t xml:space="preserve">community room, </w:t>
      </w:r>
      <w:r w:rsidRPr="00411B94">
        <w:rPr>
          <w:sz w:val="22"/>
          <w:szCs w:val="22"/>
          <w:u w:color="FF0000"/>
        </w:rPr>
        <w:t xml:space="preserve">common area corridor and stair lighting more than 15 years old shall be replaced with fluorescent fixtures with electronic ballasts or fixtures that utilize compact fluorescent </w:t>
      </w:r>
      <w:r w:rsidR="00B00B60" w:rsidRPr="00411B94">
        <w:rPr>
          <w:sz w:val="22"/>
          <w:szCs w:val="22"/>
          <w:u w:color="FF0000"/>
        </w:rPr>
        <w:t xml:space="preserve">or LED </w:t>
      </w:r>
      <w:r w:rsidRPr="00411B94">
        <w:rPr>
          <w:sz w:val="22"/>
          <w:szCs w:val="22"/>
          <w:u w:color="FF0000"/>
        </w:rPr>
        <w:t>bulbs.</w:t>
      </w:r>
      <w:r w:rsidR="002857CF" w:rsidRPr="00411B94">
        <w:rPr>
          <w:sz w:val="22"/>
          <w:szCs w:val="22"/>
          <w:u w:color="FF0000"/>
        </w:rPr>
        <w:t xml:space="preserve"> Where windows are schedule</w:t>
      </w:r>
      <w:r w:rsidR="00A32FCC" w:rsidRPr="00411B94">
        <w:rPr>
          <w:sz w:val="22"/>
          <w:szCs w:val="22"/>
          <w:u w:color="FF0000"/>
        </w:rPr>
        <w:t>d</w:t>
      </w:r>
      <w:r w:rsidR="002857CF" w:rsidRPr="00411B94">
        <w:rPr>
          <w:sz w:val="22"/>
          <w:szCs w:val="22"/>
          <w:u w:color="FF0000"/>
        </w:rPr>
        <w:t xml:space="preserve"> for replacement, replacement should be made with Energy Star® qualified products</w:t>
      </w:r>
      <w:r w:rsidR="00076702" w:rsidRPr="00411B94">
        <w:rPr>
          <w:sz w:val="22"/>
          <w:szCs w:val="22"/>
          <w:u w:color="FF0000"/>
        </w:rPr>
        <w:t xml:space="preserve">, except in buildings over three stories in height, </w:t>
      </w:r>
      <w:r w:rsidR="00A32FCC" w:rsidRPr="00411B94">
        <w:rPr>
          <w:sz w:val="22"/>
          <w:szCs w:val="22"/>
          <w:u w:color="FF0000"/>
        </w:rPr>
        <w:t xml:space="preserve">where </w:t>
      </w:r>
      <w:r w:rsidR="00076702" w:rsidRPr="00411B94">
        <w:rPr>
          <w:sz w:val="22"/>
          <w:szCs w:val="22"/>
          <w:u w:color="FF0000"/>
        </w:rPr>
        <w:t xml:space="preserve">window </w:t>
      </w:r>
      <w:r w:rsidR="00DC131D" w:rsidRPr="00411B94">
        <w:rPr>
          <w:sz w:val="22"/>
          <w:szCs w:val="22"/>
          <w:u w:color="FF0000"/>
        </w:rPr>
        <w:t xml:space="preserve">replacement </w:t>
      </w:r>
      <w:r w:rsidR="00076702" w:rsidRPr="00411B94">
        <w:rPr>
          <w:sz w:val="22"/>
          <w:szCs w:val="22"/>
          <w:u w:color="FF0000"/>
        </w:rPr>
        <w:t>may comply instead with ASHRAE Standard 189.1-2009</w:t>
      </w:r>
      <w:r w:rsidR="002857CF" w:rsidRPr="00411B94">
        <w:rPr>
          <w:sz w:val="22"/>
          <w:szCs w:val="22"/>
          <w:u w:color="FF0000"/>
        </w:rPr>
        <w:t>.</w:t>
      </w:r>
    </w:p>
    <w:p w:rsidR="00AB5985" w:rsidRPr="00EF4EF9" w:rsidRDefault="00643ACA" w:rsidP="00643ACA">
      <w:pPr>
        <w:pStyle w:val="BodyText"/>
        <w:numPr>
          <w:ilvl w:val="0"/>
          <w:numId w:val="55"/>
        </w:numPr>
        <w:spacing w:after="120" w:line="240" w:lineRule="auto"/>
        <w:ind w:left="1440"/>
        <w:rPr>
          <w:sz w:val="20"/>
          <w:u w:color="FF0000"/>
        </w:rPr>
      </w:pPr>
      <w:r w:rsidRPr="00411B94">
        <w:rPr>
          <w:sz w:val="22"/>
          <w:szCs w:val="22"/>
          <w:u w:color="FF0000"/>
        </w:rPr>
        <w:t>All developers</w:t>
      </w:r>
      <w:r w:rsidR="00AB5985" w:rsidRPr="00411B94">
        <w:rPr>
          <w:sz w:val="22"/>
          <w:szCs w:val="22"/>
          <w:u w:color="FF0000"/>
        </w:rPr>
        <w:t xml:space="preserve"> </w:t>
      </w:r>
      <w:r w:rsidR="00277FED" w:rsidRPr="00411B94">
        <w:rPr>
          <w:sz w:val="22"/>
          <w:szCs w:val="22"/>
          <w:u w:color="FF0000"/>
        </w:rPr>
        <w:t xml:space="preserve">must certify </w:t>
      </w:r>
      <w:r w:rsidR="00AB5985" w:rsidRPr="00411B94">
        <w:rPr>
          <w:sz w:val="22"/>
          <w:szCs w:val="22"/>
          <w:u w:color="FF0000"/>
        </w:rPr>
        <w:t>that when existing equipment</w:t>
      </w:r>
      <w:r w:rsidR="002857CF" w:rsidRPr="00411B94">
        <w:rPr>
          <w:sz w:val="22"/>
          <w:szCs w:val="22"/>
          <w:u w:color="FF0000"/>
        </w:rPr>
        <w:t>,</w:t>
      </w:r>
      <w:r w:rsidR="00AB5985" w:rsidRPr="00411B94">
        <w:rPr>
          <w:sz w:val="22"/>
          <w:szCs w:val="22"/>
          <w:u w:color="FF0000"/>
        </w:rPr>
        <w:t xml:space="preserve"> appliances </w:t>
      </w:r>
      <w:r w:rsidR="002857CF" w:rsidRPr="00411B94">
        <w:rPr>
          <w:sz w:val="22"/>
          <w:szCs w:val="22"/>
          <w:u w:color="FF0000"/>
        </w:rPr>
        <w:t xml:space="preserve">and products </w:t>
      </w:r>
      <w:r w:rsidR="00AB5985" w:rsidRPr="00411B94">
        <w:rPr>
          <w:sz w:val="22"/>
          <w:szCs w:val="22"/>
          <w:u w:color="FF0000"/>
        </w:rPr>
        <w:t>are replaced, they will be replaced with Energy Star® labeled equipment, when such equipment exists.</w:t>
      </w:r>
    </w:p>
    <w:p w:rsidR="00DD7A08" w:rsidRPr="00EF4EF9" w:rsidRDefault="00DD7A08" w:rsidP="00E94493">
      <w:pPr>
        <w:pStyle w:val="BodyText"/>
        <w:numPr>
          <w:ilvl w:val="0"/>
          <w:numId w:val="24"/>
        </w:numPr>
        <w:tabs>
          <w:tab w:val="clear" w:pos="720"/>
          <w:tab w:val="num" w:pos="1440"/>
        </w:tabs>
        <w:spacing w:after="120" w:line="240" w:lineRule="auto"/>
        <w:ind w:left="1440" w:right="0"/>
        <w:rPr>
          <w:sz w:val="20"/>
        </w:rPr>
      </w:pPr>
      <w:r w:rsidRPr="00411B94">
        <w:rPr>
          <w:sz w:val="22"/>
          <w:szCs w:val="22"/>
        </w:rPr>
        <w:t>All development</w:t>
      </w:r>
      <w:r w:rsidR="00031C36" w:rsidRPr="00411B94">
        <w:rPr>
          <w:sz w:val="22"/>
          <w:szCs w:val="22"/>
        </w:rPr>
        <w:t>s</w:t>
      </w:r>
      <w:r w:rsidRPr="00411B94">
        <w:rPr>
          <w:sz w:val="22"/>
          <w:szCs w:val="22"/>
        </w:rPr>
        <w:t xml:space="preserve"> must meet the </w:t>
      </w:r>
      <w:r w:rsidR="00661787" w:rsidRPr="00411B94">
        <w:rPr>
          <w:sz w:val="22"/>
          <w:szCs w:val="22"/>
        </w:rPr>
        <w:t xml:space="preserve">Additional </w:t>
      </w:r>
      <w:r w:rsidRPr="00411B94">
        <w:rPr>
          <w:sz w:val="22"/>
          <w:szCs w:val="22"/>
        </w:rPr>
        <w:t xml:space="preserve">Threshold Green Building Criteria set forth in the </w:t>
      </w:r>
      <w:r w:rsidR="00AF1F86">
        <w:rPr>
          <w:sz w:val="22"/>
          <w:szCs w:val="22"/>
        </w:rPr>
        <w:t>2016</w:t>
      </w:r>
      <w:r w:rsidR="008715CC" w:rsidRPr="00411B94">
        <w:rPr>
          <w:sz w:val="22"/>
          <w:szCs w:val="22"/>
        </w:rPr>
        <w:t xml:space="preserve"> </w:t>
      </w:r>
      <w:r w:rsidRPr="00411B94">
        <w:rPr>
          <w:sz w:val="22"/>
          <w:szCs w:val="22"/>
        </w:rPr>
        <w:t>Guidelines.</w:t>
      </w:r>
    </w:p>
    <w:p w:rsidR="00075E60" w:rsidRDefault="0031422D" w:rsidP="00291655">
      <w:pPr>
        <w:pStyle w:val="BodyText"/>
        <w:spacing w:line="240" w:lineRule="auto"/>
        <w:ind w:left="1080" w:right="0"/>
      </w:pPr>
      <w:r w:rsidRPr="00411B94">
        <w:rPr>
          <w:sz w:val="22"/>
          <w:szCs w:val="22"/>
        </w:rPr>
        <w:t xml:space="preserve">Please review the Multifamily Housing Application and Guidelines for specific </w:t>
      </w:r>
      <w:r w:rsidR="00416B22" w:rsidRPr="00411B94">
        <w:rPr>
          <w:sz w:val="22"/>
          <w:szCs w:val="22"/>
        </w:rPr>
        <w:t xml:space="preserve">sustainability </w:t>
      </w:r>
      <w:r w:rsidR="00643ACA" w:rsidRPr="00411B94">
        <w:rPr>
          <w:sz w:val="22"/>
          <w:szCs w:val="22"/>
        </w:rPr>
        <w:t xml:space="preserve">and </w:t>
      </w:r>
      <w:r w:rsidRPr="00411B94">
        <w:rPr>
          <w:sz w:val="22"/>
          <w:szCs w:val="22"/>
        </w:rPr>
        <w:t>energy conservation requirements.</w:t>
      </w:r>
      <w:r w:rsidR="00075E60" w:rsidRPr="00411B94">
        <w:tab/>
        <w:t xml:space="preserve"> </w:t>
      </w:r>
    </w:p>
    <w:p w:rsidR="00291655" w:rsidRPr="00EF4EF9" w:rsidRDefault="00291655" w:rsidP="005B527A">
      <w:pPr>
        <w:pStyle w:val="BodyText"/>
        <w:spacing w:after="120" w:line="240" w:lineRule="auto"/>
        <w:ind w:left="1080" w:right="0"/>
        <w:rPr>
          <w:sz w:val="20"/>
        </w:rPr>
      </w:pPr>
    </w:p>
    <w:p w:rsidR="00B16DBA" w:rsidRPr="00411B94" w:rsidRDefault="005F4E22" w:rsidP="00B16DBA">
      <w:pPr>
        <w:spacing w:line="240" w:lineRule="auto"/>
        <w:ind w:left="720" w:hanging="360"/>
        <w:rPr>
          <w:sz w:val="22"/>
          <w:szCs w:val="22"/>
        </w:rPr>
      </w:pPr>
      <w:r>
        <w:rPr>
          <w:sz w:val="22"/>
          <w:szCs w:val="22"/>
        </w:rPr>
        <w:lastRenderedPageBreak/>
        <w:t>7</w:t>
      </w:r>
      <w:r w:rsidR="0050389C" w:rsidRPr="00411B94">
        <w:rPr>
          <w:sz w:val="22"/>
          <w:szCs w:val="22"/>
        </w:rPr>
        <w:t>.</w:t>
      </w:r>
      <w:r w:rsidR="0050389C" w:rsidRPr="00411B94">
        <w:rPr>
          <w:sz w:val="22"/>
          <w:szCs w:val="22"/>
        </w:rPr>
        <w:tab/>
        <w:t xml:space="preserve">Affordability of Units - Developments must provide a financing plan which evidences </w:t>
      </w:r>
      <w:r w:rsidR="0026043D" w:rsidRPr="00411B94">
        <w:rPr>
          <w:sz w:val="22"/>
          <w:szCs w:val="22"/>
        </w:rPr>
        <w:t xml:space="preserve">that at least </w:t>
      </w:r>
      <w:r w:rsidR="009623C5" w:rsidRPr="00411B94">
        <w:rPr>
          <w:sz w:val="22"/>
          <w:szCs w:val="22"/>
        </w:rPr>
        <w:t xml:space="preserve">ten percent (10%) of the </w:t>
      </w:r>
      <w:r w:rsidR="00326D7D" w:rsidRPr="00411B94">
        <w:rPr>
          <w:sz w:val="22"/>
          <w:szCs w:val="22"/>
        </w:rPr>
        <w:t>low income</w:t>
      </w:r>
      <w:r w:rsidR="0044391B" w:rsidRPr="00411B94">
        <w:rPr>
          <w:sz w:val="22"/>
          <w:szCs w:val="22"/>
        </w:rPr>
        <w:t xml:space="preserve"> </w:t>
      </w:r>
      <w:r w:rsidR="009623C5" w:rsidRPr="00411B94">
        <w:rPr>
          <w:sz w:val="22"/>
          <w:szCs w:val="22"/>
        </w:rPr>
        <w:t xml:space="preserve">units in Urban Areas and five percent (5%) of the </w:t>
      </w:r>
      <w:r w:rsidR="00326D7D" w:rsidRPr="00411B94">
        <w:rPr>
          <w:sz w:val="22"/>
          <w:szCs w:val="22"/>
        </w:rPr>
        <w:t>low income</w:t>
      </w:r>
      <w:r w:rsidR="0044391B" w:rsidRPr="00411B94">
        <w:rPr>
          <w:sz w:val="22"/>
          <w:szCs w:val="22"/>
        </w:rPr>
        <w:t xml:space="preserve"> </w:t>
      </w:r>
      <w:r w:rsidR="009623C5" w:rsidRPr="00411B94">
        <w:rPr>
          <w:sz w:val="22"/>
          <w:szCs w:val="22"/>
        </w:rPr>
        <w:t>units in Suburban/Rural Areas are affordable to persons at or below twenty percent (20%) of the area median income, adjusted for family size.</w:t>
      </w:r>
      <w:r w:rsidR="00982C8E" w:rsidRPr="00411B94">
        <w:rPr>
          <w:sz w:val="22"/>
          <w:szCs w:val="22"/>
        </w:rPr>
        <w:t xml:space="preserve">  </w:t>
      </w:r>
      <w:r w:rsidR="0044391B" w:rsidRPr="00411B94">
        <w:rPr>
          <w:sz w:val="22"/>
          <w:szCs w:val="22"/>
        </w:rPr>
        <w:t>For development</w:t>
      </w:r>
      <w:r w:rsidR="00CB120B" w:rsidRPr="00411B94">
        <w:rPr>
          <w:sz w:val="22"/>
          <w:szCs w:val="22"/>
        </w:rPr>
        <w:t>s</w:t>
      </w:r>
      <w:r w:rsidR="0044391B" w:rsidRPr="00411B94">
        <w:rPr>
          <w:sz w:val="22"/>
          <w:szCs w:val="22"/>
        </w:rPr>
        <w:t xml:space="preserve"> consisting of all low income units, a</w:t>
      </w:r>
      <w:r w:rsidR="00982C8E" w:rsidRPr="00411B94">
        <w:rPr>
          <w:sz w:val="22"/>
          <w:szCs w:val="22"/>
        </w:rPr>
        <w:t>t least</w:t>
      </w:r>
      <w:r w:rsidR="001A1952" w:rsidRPr="00411B94">
        <w:rPr>
          <w:sz w:val="22"/>
          <w:szCs w:val="22"/>
        </w:rPr>
        <w:t xml:space="preserve"> half of these units must be </w:t>
      </w:r>
      <w:r w:rsidR="0050389C" w:rsidRPr="00411B94">
        <w:rPr>
          <w:sz w:val="22"/>
          <w:szCs w:val="22"/>
        </w:rPr>
        <w:t>accessible</w:t>
      </w:r>
      <w:r w:rsidR="007668E9" w:rsidRPr="00411B94">
        <w:rPr>
          <w:sz w:val="22"/>
          <w:szCs w:val="22"/>
        </w:rPr>
        <w:t>.</w:t>
      </w:r>
      <w:r w:rsidR="0044391B" w:rsidRPr="00411B94">
        <w:rPr>
          <w:sz w:val="22"/>
          <w:szCs w:val="22"/>
        </w:rPr>
        <w:t xml:space="preserve"> For mixed income developments containing market rate units, 5% of the units must be accessible.</w:t>
      </w:r>
      <w:r w:rsidR="00036411" w:rsidRPr="00411B94">
        <w:rPr>
          <w:sz w:val="22"/>
          <w:szCs w:val="22"/>
        </w:rPr>
        <w:t xml:space="preserve"> </w:t>
      </w:r>
      <w:r w:rsidR="00D25A0E" w:rsidRPr="00411B94">
        <w:rPr>
          <w:sz w:val="22"/>
          <w:szCs w:val="22"/>
        </w:rPr>
        <w:t xml:space="preserve">(Existing affordable developments with a demonstrated </w:t>
      </w:r>
      <w:r w:rsidR="009B37A1" w:rsidRPr="00411B94">
        <w:rPr>
          <w:sz w:val="22"/>
          <w:szCs w:val="22"/>
        </w:rPr>
        <w:t xml:space="preserve">average </w:t>
      </w:r>
      <w:r w:rsidR="00D25A0E" w:rsidRPr="00411B94">
        <w:rPr>
          <w:sz w:val="22"/>
          <w:szCs w:val="22"/>
        </w:rPr>
        <w:t>occupancy rate of 90</w:t>
      </w:r>
      <w:r w:rsidR="005467F9" w:rsidRPr="00411B94">
        <w:rPr>
          <w:sz w:val="22"/>
          <w:szCs w:val="22"/>
        </w:rPr>
        <w:t xml:space="preserve"> percent</w:t>
      </w:r>
      <w:r w:rsidR="00D25A0E" w:rsidRPr="00411B94">
        <w:rPr>
          <w:sz w:val="22"/>
          <w:szCs w:val="22"/>
        </w:rPr>
        <w:t xml:space="preserve"> or above </w:t>
      </w:r>
      <w:r w:rsidR="009B37A1" w:rsidRPr="00411B94">
        <w:rPr>
          <w:sz w:val="22"/>
          <w:szCs w:val="22"/>
        </w:rPr>
        <w:t xml:space="preserve">over last 5 years </w:t>
      </w:r>
      <w:r w:rsidR="00B05970" w:rsidRPr="00411B94">
        <w:rPr>
          <w:sz w:val="22"/>
          <w:szCs w:val="22"/>
        </w:rPr>
        <w:t>may be exempt from hav</w:t>
      </w:r>
      <w:r w:rsidR="009B37A1" w:rsidRPr="00411B94">
        <w:rPr>
          <w:sz w:val="22"/>
          <w:szCs w:val="22"/>
        </w:rPr>
        <w:t>ing</w:t>
      </w:r>
      <w:r w:rsidR="000100D3" w:rsidRPr="00411B94">
        <w:rPr>
          <w:sz w:val="22"/>
          <w:szCs w:val="22"/>
        </w:rPr>
        <w:t xml:space="preserve"> to</w:t>
      </w:r>
      <w:r w:rsidR="00D25A0E" w:rsidRPr="00411B94">
        <w:rPr>
          <w:sz w:val="22"/>
          <w:szCs w:val="22"/>
        </w:rPr>
        <w:t xml:space="preserve"> meet the </w:t>
      </w:r>
      <w:r w:rsidR="005467F9" w:rsidRPr="00411B94">
        <w:rPr>
          <w:sz w:val="22"/>
          <w:szCs w:val="22"/>
        </w:rPr>
        <w:t>twenty percent (</w:t>
      </w:r>
      <w:r w:rsidR="00D25A0E" w:rsidRPr="00411B94">
        <w:rPr>
          <w:sz w:val="22"/>
          <w:szCs w:val="22"/>
        </w:rPr>
        <w:t>20%</w:t>
      </w:r>
      <w:r w:rsidR="005467F9" w:rsidRPr="00411B94">
        <w:rPr>
          <w:sz w:val="22"/>
          <w:szCs w:val="22"/>
        </w:rPr>
        <w:t>)</w:t>
      </w:r>
      <w:r w:rsidR="00D25A0E" w:rsidRPr="00411B94">
        <w:rPr>
          <w:sz w:val="22"/>
          <w:szCs w:val="22"/>
        </w:rPr>
        <w:t xml:space="preserve"> area median income requirement for these units.)  </w:t>
      </w:r>
      <w:r w:rsidR="0050389C" w:rsidRPr="00411B94">
        <w:rPr>
          <w:sz w:val="22"/>
          <w:szCs w:val="22"/>
        </w:rPr>
        <w:t xml:space="preserve">The development must evidence a viable plan to charge rents at levels affordable to persons at or below </w:t>
      </w:r>
      <w:r w:rsidR="00BF551D" w:rsidRPr="00411B94">
        <w:rPr>
          <w:sz w:val="22"/>
          <w:szCs w:val="22"/>
        </w:rPr>
        <w:t>twenty percent (</w:t>
      </w:r>
      <w:r w:rsidR="0050389C" w:rsidRPr="00411B94">
        <w:rPr>
          <w:sz w:val="22"/>
          <w:szCs w:val="22"/>
        </w:rPr>
        <w:t>20%</w:t>
      </w:r>
      <w:r w:rsidR="00BF551D" w:rsidRPr="00411B94">
        <w:rPr>
          <w:sz w:val="22"/>
          <w:szCs w:val="22"/>
        </w:rPr>
        <w:t>)</w:t>
      </w:r>
      <w:r w:rsidR="0050389C" w:rsidRPr="00411B94">
        <w:rPr>
          <w:sz w:val="22"/>
          <w:szCs w:val="22"/>
        </w:rPr>
        <w:t xml:space="preserve"> of area median income </w:t>
      </w:r>
      <w:r w:rsidR="0026043D" w:rsidRPr="00411B94">
        <w:rPr>
          <w:sz w:val="22"/>
          <w:szCs w:val="22"/>
        </w:rPr>
        <w:t xml:space="preserve">for these units </w:t>
      </w:r>
      <w:r w:rsidR="0050389C" w:rsidRPr="00411B94">
        <w:rPr>
          <w:sz w:val="22"/>
          <w:szCs w:val="22"/>
        </w:rPr>
        <w:t>throughout the compliance period</w:t>
      </w:r>
      <w:r w:rsidR="0008573C" w:rsidRPr="00411B94">
        <w:rPr>
          <w:sz w:val="22"/>
          <w:szCs w:val="22"/>
        </w:rPr>
        <w:t xml:space="preserve">. </w:t>
      </w:r>
      <w:r w:rsidR="00EA1E9D" w:rsidRPr="00411B94">
        <w:rPr>
          <w:sz w:val="22"/>
          <w:szCs w:val="22"/>
        </w:rPr>
        <w:t xml:space="preserve">In the event the plan includes utilization of Project Based Section 8 and </w:t>
      </w:r>
      <w:r w:rsidR="00B27212" w:rsidRPr="00411B94">
        <w:rPr>
          <w:sz w:val="22"/>
          <w:szCs w:val="22"/>
        </w:rPr>
        <w:t>appropriation for such assistance is not renewed (provided that non-renewal is not due to the development</w:t>
      </w:r>
      <w:r w:rsidR="00BC6154" w:rsidRPr="00411B94">
        <w:rPr>
          <w:sz w:val="22"/>
          <w:szCs w:val="22"/>
        </w:rPr>
        <w:t>’</w:t>
      </w:r>
      <w:r w:rsidR="00B27212" w:rsidRPr="00411B94">
        <w:rPr>
          <w:sz w:val="22"/>
          <w:szCs w:val="22"/>
        </w:rPr>
        <w:t>s default on program obligations), the twenty percent (20%</w:t>
      </w:r>
      <w:r w:rsidR="005467F9" w:rsidRPr="00411B94">
        <w:rPr>
          <w:sz w:val="22"/>
          <w:szCs w:val="22"/>
        </w:rPr>
        <w:t>)</w:t>
      </w:r>
      <w:r w:rsidR="00BC6154" w:rsidRPr="00411B94">
        <w:rPr>
          <w:sz w:val="22"/>
          <w:szCs w:val="22"/>
        </w:rPr>
        <w:t xml:space="preserve"> area median income requirement</w:t>
      </w:r>
      <w:r w:rsidR="00B27212" w:rsidRPr="00411B94">
        <w:rPr>
          <w:sz w:val="22"/>
          <w:szCs w:val="22"/>
        </w:rPr>
        <w:t xml:space="preserve"> may be waived with the consent of the Agency</w:t>
      </w:r>
      <w:r w:rsidR="00997179">
        <w:rPr>
          <w:sz w:val="22"/>
          <w:szCs w:val="22"/>
        </w:rPr>
        <w:t xml:space="preserve"> for reasons beyond the development’s control</w:t>
      </w:r>
      <w:r w:rsidR="00B27212" w:rsidRPr="00411B94">
        <w:rPr>
          <w:sz w:val="22"/>
          <w:szCs w:val="22"/>
        </w:rPr>
        <w:t xml:space="preserve">.  </w:t>
      </w:r>
      <w:r w:rsidR="0008573C" w:rsidRPr="00411B94">
        <w:rPr>
          <w:sz w:val="22"/>
          <w:szCs w:val="22"/>
        </w:rPr>
        <w:t>An agreement shall be in place with appropriate referring entities</w:t>
      </w:r>
      <w:r w:rsidR="001A1952" w:rsidRPr="00411B94">
        <w:rPr>
          <w:sz w:val="22"/>
          <w:szCs w:val="22"/>
        </w:rPr>
        <w:t xml:space="preserve"> </w:t>
      </w:r>
      <w:r w:rsidR="00BB59DB" w:rsidRPr="00411B94">
        <w:rPr>
          <w:sz w:val="22"/>
          <w:szCs w:val="22"/>
        </w:rPr>
        <w:t>(</w:t>
      </w:r>
      <w:r w:rsidR="00263382" w:rsidRPr="00411B94">
        <w:rPr>
          <w:sz w:val="22"/>
          <w:szCs w:val="22"/>
        </w:rPr>
        <w:t>including those supported through programs of</w:t>
      </w:r>
      <w:r w:rsidR="001306AC" w:rsidRPr="00411B94">
        <w:rPr>
          <w:sz w:val="22"/>
          <w:szCs w:val="22"/>
        </w:rPr>
        <w:t xml:space="preserve"> </w:t>
      </w:r>
      <w:r w:rsidR="001A1952" w:rsidRPr="00411B94">
        <w:rPr>
          <w:sz w:val="22"/>
          <w:szCs w:val="22"/>
        </w:rPr>
        <w:t xml:space="preserve">the </w:t>
      </w:r>
      <w:r w:rsidR="000E3108">
        <w:rPr>
          <w:sz w:val="22"/>
          <w:szCs w:val="22"/>
        </w:rPr>
        <w:t>Department of Human Services</w:t>
      </w:r>
      <w:r w:rsidR="00BB59DB" w:rsidRPr="00411B94">
        <w:rPr>
          <w:sz w:val="22"/>
          <w:szCs w:val="22"/>
        </w:rPr>
        <w:t xml:space="preserve">) </w:t>
      </w:r>
      <w:r w:rsidR="0008573C" w:rsidRPr="00411B94">
        <w:rPr>
          <w:sz w:val="22"/>
          <w:szCs w:val="22"/>
        </w:rPr>
        <w:t xml:space="preserve">to assure that sufficient referrals for tenancy are received </w:t>
      </w:r>
      <w:r w:rsidR="00A32FCC" w:rsidRPr="00411B94">
        <w:rPr>
          <w:sz w:val="22"/>
          <w:szCs w:val="22"/>
        </w:rPr>
        <w:t xml:space="preserve">from households </w:t>
      </w:r>
      <w:r w:rsidR="0008573C" w:rsidRPr="00411B94">
        <w:rPr>
          <w:sz w:val="22"/>
          <w:szCs w:val="22"/>
        </w:rPr>
        <w:t>who are income-eligible and</w:t>
      </w:r>
      <w:r w:rsidR="004F1DE3" w:rsidRPr="00411B94">
        <w:rPr>
          <w:sz w:val="22"/>
          <w:szCs w:val="22"/>
        </w:rPr>
        <w:t>/or</w:t>
      </w:r>
      <w:r w:rsidR="0008573C" w:rsidRPr="00411B94">
        <w:rPr>
          <w:sz w:val="22"/>
          <w:szCs w:val="22"/>
        </w:rPr>
        <w:t xml:space="preserve"> in need of the accessibility features</w:t>
      </w:r>
      <w:r w:rsidR="00225C35" w:rsidRPr="00411B94">
        <w:rPr>
          <w:sz w:val="22"/>
          <w:szCs w:val="22"/>
        </w:rPr>
        <w:t>.</w:t>
      </w:r>
      <w:r w:rsidR="0050389C" w:rsidRPr="00411B94">
        <w:rPr>
          <w:sz w:val="22"/>
          <w:szCs w:val="22"/>
        </w:rPr>
        <w:t xml:space="preserve">  </w:t>
      </w:r>
      <w:r w:rsidR="00816176" w:rsidRPr="00411B94">
        <w:rPr>
          <w:sz w:val="22"/>
          <w:szCs w:val="22"/>
        </w:rPr>
        <w:t xml:space="preserve">Additionally, the Agency </w:t>
      </w:r>
      <w:r w:rsidR="009E0D06" w:rsidRPr="00411B94">
        <w:rPr>
          <w:sz w:val="22"/>
          <w:szCs w:val="22"/>
        </w:rPr>
        <w:t>may require additional applicable program restrictions to comply with its</w:t>
      </w:r>
      <w:r w:rsidR="00816176" w:rsidRPr="00411B94">
        <w:rPr>
          <w:sz w:val="22"/>
          <w:szCs w:val="22"/>
        </w:rPr>
        <w:t xml:space="preserve"> award of project</w:t>
      </w:r>
      <w:r w:rsidR="00BC6154" w:rsidRPr="00411B94">
        <w:rPr>
          <w:sz w:val="22"/>
          <w:szCs w:val="22"/>
        </w:rPr>
        <w:t>-based</w:t>
      </w:r>
      <w:r w:rsidR="00816176" w:rsidRPr="00411B94">
        <w:rPr>
          <w:sz w:val="22"/>
          <w:szCs w:val="22"/>
        </w:rPr>
        <w:t xml:space="preserve"> subsidy from HUD of Section 811 Demonstration Program funds</w:t>
      </w:r>
      <w:r w:rsidR="00286FC5" w:rsidRPr="00411B94">
        <w:rPr>
          <w:sz w:val="22"/>
          <w:szCs w:val="22"/>
        </w:rPr>
        <w:t xml:space="preserve"> or similar program opportunities</w:t>
      </w:r>
      <w:r w:rsidR="00B42295" w:rsidRPr="00411B94">
        <w:rPr>
          <w:sz w:val="22"/>
          <w:szCs w:val="22"/>
        </w:rPr>
        <w:t xml:space="preserve">. </w:t>
      </w:r>
      <w:r w:rsidR="00816176" w:rsidRPr="00411B94">
        <w:rPr>
          <w:sz w:val="22"/>
          <w:szCs w:val="22"/>
        </w:rPr>
        <w:t xml:space="preserve"> </w:t>
      </w:r>
      <w:r w:rsidR="0050389C" w:rsidRPr="00411B94">
        <w:rPr>
          <w:sz w:val="22"/>
          <w:szCs w:val="22"/>
        </w:rPr>
        <w:t>The Restrictive Covenant Agreement will require that the extremely low rents are maintained and that a corresponding number of units are</w:t>
      </w:r>
      <w:r w:rsidR="0050389C" w:rsidRPr="00411B94">
        <w:rPr>
          <w:sz w:val="22"/>
          <w:szCs w:val="22"/>
          <w:u w:color="FF0000"/>
        </w:rPr>
        <w:t xml:space="preserve"> marketed to and set aside for such extremely low income households throughout the compliance period.</w:t>
      </w:r>
      <w:r w:rsidR="0050389C" w:rsidRPr="00411B94">
        <w:rPr>
          <w:sz w:val="22"/>
          <w:szCs w:val="22"/>
        </w:rPr>
        <w:t xml:space="preserve">  </w:t>
      </w:r>
    </w:p>
    <w:p w:rsidR="001848D9" w:rsidRPr="00411B94" w:rsidRDefault="001848D9">
      <w:pPr>
        <w:widowControl/>
        <w:adjustRightInd/>
        <w:spacing w:line="240" w:lineRule="auto"/>
        <w:jc w:val="left"/>
        <w:textAlignment w:val="auto"/>
        <w:rPr>
          <w:b/>
          <w:sz w:val="22"/>
          <w:szCs w:val="22"/>
          <w:u w:val="single"/>
        </w:rPr>
      </w:pPr>
    </w:p>
    <w:p w:rsidR="00F84C03" w:rsidRDefault="00F84C03" w:rsidP="00E94493">
      <w:pPr>
        <w:spacing w:line="240" w:lineRule="auto"/>
        <w:ind w:firstLine="720"/>
        <w:jc w:val="center"/>
        <w:rPr>
          <w:b/>
          <w:sz w:val="22"/>
          <w:szCs w:val="22"/>
          <w:u w:val="single"/>
        </w:rPr>
      </w:pPr>
    </w:p>
    <w:p w:rsidR="005F072D" w:rsidRPr="00411B94" w:rsidRDefault="00AC1BA9" w:rsidP="00E94493">
      <w:pPr>
        <w:spacing w:line="240" w:lineRule="auto"/>
        <w:ind w:firstLine="720"/>
        <w:jc w:val="center"/>
        <w:rPr>
          <w:b/>
          <w:sz w:val="22"/>
          <w:szCs w:val="22"/>
          <w:u w:val="single"/>
        </w:rPr>
      </w:pPr>
      <w:r w:rsidRPr="00411B94">
        <w:rPr>
          <w:b/>
          <w:sz w:val="22"/>
          <w:szCs w:val="22"/>
          <w:u w:val="single"/>
        </w:rPr>
        <w:t xml:space="preserve">APPLICATION </w:t>
      </w:r>
      <w:r w:rsidR="005F072D" w:rsidRPr="00411B94">
        <w:rPr>
          <w:b/>
          <w:sz w:val="22"/>
          <w:szCs w:val="22"/>
          <w:u w:val="single"/>
        </w:rPr>
        <w:t>SELECTION CRITERIA</w:t>
      </w:r>
    </w:p>
    <w:p w:rsidR="005F072D" w:rsidRPr="00411B94" w:rsidRDefault="005F072D" w:rsidP="00E94493">
      <w:pPr>
        <w:spacing w:line="240" w:lineRule="auto"/>
        <w:rPr>
          <w:b/>
          <w:sz w:val="22"/>
          <w:szCs w:val="22"/>
          <w:u w:val="single"/>
        </w:rPr>
      </w:pPr>
    </w:p>
    <w:p w:rsidR="00491A05" w:rsidRPr="00411B94" w:rsidRDefault="005F072D">
      <w:pPr>
        <w:spacing w:line="240" w:lineRule="auto"/>
        <w:ind w:left="360"/>
        <w:rPr>
          <w:b/>
          <w:sz w:val="22"/>
          <w:szCs w:val="22"/>
          <w:u w:val="single"/>
        </w:rPr>
      </w:pPr>
      <w:r w:rsidRPr="00411B94">
        <w:rPr>
          <w:b/>
          <w:sz w:val="22"/>
          <w:szCs w:val="22"/>
          <w:u w:val="single"/>
        </w:rPr>
        <w:t>General Processing Information</w:t>
      </w:r>
    </w:p>
    <w:p w:rsidR="005F072D" w:rsidRPr="00411B94" w:rsidRDefault="005F072D" w:rsidP="00E94493">
      <w:pPr>
        <w:spacing w:line="240" w:lineRule="auto"/>
        <w:rPr>
          <w:sz w:val="22"/>
          <w:szCs w:val="22"/>
          <w:u w:color="000000"/>
        </w:rPr>
      </w:pPr>
    </w:p>
    <w:p w:rsidR="00E94F24" w:rsidRPr="00411B94" w:rsidRDefault="00E94F24" w:rsidP="00E94F24">
      <w:pPr>
        <w:spacing w:line="240" w:lineRule="auto"/>
        <w:ind w:left="360" w:firstLine="360"/>
        <w:contextualSpacing/>
        <w:rPr>
          <w:sz w:val="22"/>
          <w:szCs w:val="22"/>
        </w:rPr>
      </w:pPr>
      <w:r w:rsidRPr="00411B94">
        <w:rPr>
          <w:sz w:val="22"/>
          <w:szCs w:val="22"/>
        </w:rPr>
        <w:t xml:space="preserve">Upon receipt of the Application, the Agency will review the site and market information contained in the Application and will conduct </w:t>
      </w:r>
      <w:r w:rsidR="000B6C37" w:rsidRPr="00411B94">
        <w:rPr>
          <w:sz w:val="22"/>
          <w:szCs w:val="22"/>
        </w:rPr>
        <w:t xml:space="preserve">a development </w:t>
      </w:r>
      <w:r w:rsidRPr="00411B94">
        <w:rPr>
          <w:sz w:val="22"/>
          <w:szCs w:val="22"/>
        </w:rPr>
        <w:t xml:space="preserve">site </w:t>
      </w:r>
      <w:r w:rsidR="000B6C37" w:rsidRPr="00411B94">
        <w:rPr>
          <w:sz w:val="22"/>
          <w:szCs w:val="22"/>
        </w:rPr>
        <w:t xml:space="preserve">visit </w:t>
      </w:r>
      <w:r w:rsidRPr="00411B94">
        <w:rPr>
          <w:sz w:val="22"/>
          <w:szCs w:val="22"/>
        </w:rPr>
        <w:t>if the Agency deems the development to be financial</w:t>
      </w:r>
      <w:r w:rsidR="00286FC5" w:rsidRPr="00411B94">
        <w:rPr>
          <w:sz w:val="22"/>
          <w:szCs w:val="22"/>
        </w:rPr>
        <w:t>ly</w:t>
      </w:r>
      <w:r w:rsidRPr="00411B94">
        <w:rPr>
          <w:sz w:val="22"/>
          <w:szCs w:val="22"/>
        </w:rPr>
        <w:t xml:space="preserve"> feasibl</w:t>
      </w:r>
      <w:r w:rsidR="00286FC5" w:rsidRPr="00411B94">
        <w:rPr>
          <w:sz w:val="22"/>
          <w:szCs w:val="22"/>
        </w:rPr>
        <w:t>e</w:t>
      </w:r>
      <w:r w:rsidRPr="00411B94">
        <w:rPr>
          <w:sz w:val="22"/>
          <w:szCs w:val="22"/>
        </w:rPr>
        <w:t xml:space="preserve"> based on the information submitted in the Application</w:t>
      </w:r>
      <w:r w:rsidR="00A3317D" w:rsidRPr="00411B94">
        <w:rPr>
          <w:sz w:val="22"/>
          <w:szCs w:val="22"/>
        </w:rPr>
        <w:t xml:space="preserve">.  </w:t>
      </w:r>
      <w:r w:rsidRPr="00411B94">
        <w:rPr>
          <w:sz w:val="22"/>
          <w:szCs w:val="22"/>
        </w:rPr>
        <w:t xml:space="preserve">For </w:t>
      </w:r>
      <w:r w:rsidR="00AF1F86">
        <w:rPr>
          <w:sz w:val="22"/>
          <w:szCs w:val="22"/>
        </w:rPr>
        <w:t>2016</w:t>
      </w:r>
      <w:r w:rsidRPr="00411B94">
        <w:rPr>
          <w:sz w:val="22"/>
          <w:szCs w:val="22"/>
        </w:rPr>
        <w:t xml:space="preserve">, the Agency anticipates that the number of </w:t>
      </w:r>
      <w:r w:rsidR="007668E9" w:rsidRPr="00411B94">
        <w:rPr>
          <w:sz w:val="22"/>
          <w:szCs w:val="22"/>
        </w:rPr>
        <w:t>A</w:t>
      </w:r>
      <w:r w:rsidRPr="00411B94">
        <w:rPr>
          <w:sz w:val="22"/>
          <w:szCs w:val="22"/>
        </w:rPr>
        <w:t xml:space="preserve">pplications will significantly exceed the amount of </w:t>
      </w:r>
      <w:r w:rsidR="009B37A1" w:rsidRPr="00411B94">
        <w:rPr>
          <w:sz w:val="22"/>
          <w:szCs w:val="22"/>
        </w:rPr>
        <w:t>T</w:t>
      </w:r>
      <w:r w:rsidRPr="00411B94">
        <w:rPr>
          <w:sz w:val="22"/>
          <w:szCs w:val="22"/>
        </w:rPr>
        <w:t xml:space="preserve">ax </w:t>
      </w:r>
      <w:r w:rsidR="009B37A1" w:rsidRPr="00411B94">
        <w:rPr>
          <w:sz w:val="22"/>
          <w:szCs w:val="22"/>
        </w:rPr>
        <w:t>C</w:t>
      </w:r>
      <w:r w:rsidRPr="00411B94">
        <w:rPr>
          <w:sz w:val="22"/>
          <w:szCs w:val="22"/>
        </w:rPr>
        <w:t xml:space="preserve">redits availability for allocation, therefore, the Agency may use amount of resources available </w:t>
      </w:r>
      <w:r w:rsidR="00997179">
        <w:rPr>
          <w:sz w:val="22"/>
          <w:szCs w:val="22"/>
        </w:rPr>
        <w:t xml:space="preserve">and readiness to proceed and commence construction as </w:t>
      </w:r>
      <w:r w:rsidRPr="00411B94">
        <w:rPr>
          <w:sz w:val="22"/>
          <w:szCs w:val="22"/>
        </w:rPr>
        <w:t>factor</w:t>
      </w:r>
      <w:r w:rsidR="00997179">
        <w:rPr>
          <w:sz w:val="22"/>
          <w:szCs w:val="22"/>
        </w:rPr>
        <w:t>s</w:t>
      </w:r>
      <w:r w:rsidRPr="00411B94">
        <w:rPr>
          <w:sz w:val="22"/>
          <w:szCs w:val="22"/>
        </w:rPr>
        <w:t xml:space="preserve"> in making these determination</w:t>
      </w:r>
      <w:r w:rsidR="009B37A1" w:rsidRPr="00411B94">
        <w:rPr>
          <w:sz w:val="22"/>
          <w:szCs w:val="22"/>
        </w:rPr>
        <w:t>s</w:t>
      </w:r>
      <w:r w:rsidRPr="00411B94">
        <w:rPr>
          <w:sz w:val="22"/>
          <w:szCs w:val="22"/>
        </w:rPr>
        <w:t>.</w:t>
      </w:r>
    </w:p>
    <w:p w:rsidR="00E94F24" w:rsidRPr="00411B94" w:rsidRDefault="00E94F24" w:rsidP="00E94F24">
      <w:pPr>
        <w:spacing w:line="240" w:lineRule="auto"/>
        <w:ind w:left="360" w:firstLine="360"/>
        <w:contextualSpacing/>
        <w:rPr>
          <w:sz w:val="22"/>
          <w:szCs w:val="22"/>
        </w:rPr>
      </w:pPr>
    </w:p>
    <w:p w:rsidR="005F072D" w:rsidRPr="00411B94" w:rsidRDefault="005F072D" w:rsidP="001E4B16">
      <w:pPr>
        <w:pStyle w:val="Header"/>
        <w:tabs>
          <w:tab w:val="clear" w:pos="4320"/>
          <w:tab w:val="clear" w:pos="8640"/>
        </w:tabs>
        <w:spacing w:line="240" w:lineRule="auto"/>
        <w:ind w:left="360" w:firstLine="360"/>
        <w:rPr>
          <w:sz w:val="22"/>
          <w:szCs w:val="22"/>
        </w:rPr>
      </w:pPr>
      <w:r w:rsidRPr="00411B94">
        <w:rPr>
          <w:sz w:val="22"/>
          <w:szCs w:val="22"/>
          <w:u w:color="000000"/>
        </w:rPr>
        <w:t xml:space="preserve">The Agency will review the Application and </w:t>
      </w:r>
      <w:r w:rsidR="008044F8" w:rsidRPr="00411B94">
        <w:rPr>
          <w:sz w:val="22"/>
          <w:szCs w:val="22"/>
          <w:u w:color="000000"/>
        </w:rPr>
        <w:t xml:space="preserve">assign </w:t>
      </w:r>
      <w:r w:rsidRPr="00411B94">
        <w:rPr>
          <w:sz w:val="22"/>
          <w:szCs w:val="22"/>
          <w:u w:color="000000"/>
        </w:rPr>
        <w:t xml:space="preserve">points based on the Selection Criteria.  </w:t>
      </w:r>
      <w:r w:rsidR="005B527A" w:rsidRPr="00411B94">
        <w:rPr>
          <w:sz w:val="22"/>
          <w:szCs w:val="22"/>
        </w:rPr>
        <w:t>A</w:t>
      </w:r>
      <w:r w:rsidR="00206DC2" w:rsidRPr="00411B94">
        <w:rPr>
          <w:sz w:val="22"/>
          <w:szCs w:val="22"/>
        </w:rPr>
        <w:t xml:space="preserve">pplications will be underwritten by the Agency </w:t>
      </w:r>
      <w:r w:rsidR="00DD4323" w:rsidRPr="00411B94">
        <w:rPr>
          <w:sz w:val="22"/>
          <w:szCs w:val="22"/>
        </w:rPr>
        <w:t xml:space="preserve">at </w:t>
      </w:r>
      <w:r w:rsidR="005B527A" w:rsidRPr="00411B94">
        <w:rPr>
          <w:sz w:val="22"/>
          <w:szCs w:val="22"/>
        </w:rPr>
        <w:t xml:space="preserve">the </w:t>
      </w:r>
      <w:r w:rsidR="00DD4323" w:rsidRPr="00411B94">
        <w:rPr>
          <w:sz w:val="22"/>
          <w:szCs w:val="22"/>
        </w:rPr>
        <w:t>adjusted gross pay-in</w:t>
      </w:r>
      <w:r w:rsidR="00C706BF" w:rsidRPr="00411B94">
        <w:rPr>
          <w:sz w:val="22"/>
          <w:szCs w:val="22"/>
        </w:rPr>
        <w:t xml:space="preserve"> provided </w:t>
      </w:r>
      <w:r w:rsidR="00CB69AD" w:rsidRPr="00411B94">
        <w:rPr>
          <w:sz w:val="22"/>
          <w:szCs w:val="22"/>
        </w:rPr>
        <w:t xml:space="preserve">by the developer </w:t>
      </w:r>
      <w:r w:rsidR="00C706BF" w:rsidRPr="00411B94">
        <w:rPr>
          <w:sz w:val="22"/>
          <w:szCs w:val="22"/>
        </w:rPr>
        <w:t xml:space="preserve">in the </w:t>
      </w:r>
      <w:r w:rsidR="007668E9" w:rsidRPr="00411B94">
        <w:rPr>
          <w:sz w:val="22"/>
          <w:szCs w:val="22"/>
        </w:rPr>
        <w:t>A</w:t>
      </w:r>
      <w:r w:rsidR="00231890" w:rsidRPr="00411B94">
        <w:rPr>
          <w:sz w:val="22"/>
          <w:szCs w:val="22"/>
        </w:rPr>
        <w:t>pplication</w:t>
      </w:r>
      <w:r w:rsidR="00CB69AD" w:rsidRPr="00411B94">
        <w:rPr>
          <w:sz w:val="22"/>
          <w:szCs w:val="22"/>
        </w:rPr>
        <w:t xml:space="preserve"> but </w:t>
      </w:r>
      <w:r w:rsidR="00BF551D" w:rsidRPr="00411B94">
        <w:rPr>
          <w:sz w:val="22"/>
          <w:szCs w:val="22"/>
        </w:rPr>
        <w:t xml:space="preserve">the Agency </w:t>
      </w:r>
      <w:r w:rsidR="00CB69AD" w:rsidRPr="00411B94">
        <w:rPr>
          <w:sz w:val="22"/>
          <w:szCs w:val="22"/>
        </w:rPr>
        <w:t xml:space="preserve">may adjust </w:t>
      </w:r>
      <w:r w:rsidR="00A37F28" w:rsidRPr="00411B94">
        <w:rPr>
          <w:sz w:val="22"/>
          <w:szCs w:val="22"/>
        </w:rPr>
        <w:t>the pay-in during underwriting based upon market conditions</w:t>
      </w:r>
      <w:r w:rsidR="00E33940" w:rsidRPr="00411B94">
        <w:rPr>
          <w:sz w:val="22"/>
          <w:szCs w:val="22"/>
        </w:rPr>
        <w:t>, the targeted resident population</w:t>
      </w:r>
      <w:r w:rsidR="00A37F28" w:rsidRPr="00411B94">
        <w:rPr>
          <w:sz w:val="22"/>
          <w:szCs w:val="22"/>
        </w:rPr>
        <w:t xml:space="preserve"> or investor information.  </w:t>
      </w:r>
      <w:r w:rsidRPr="00411B94">
        <w:rPr>
          <w:sz w:val="22"/>
          <w:szCs w:val="22"/>
        </w:rPr>
        <w:t xml:space="preserve">A development must address a substantial number in each of the six categories of Selection Criteria in order to qualify for a reservation of Tax Credits.  The Agency </w:t>
      </w:r>
      <w:r w:rsidR="005A44D5" w:rsidRPr="00411B94">
        <w:rPr>
          <w:sz w:val="22"/>
          <w:szCs w:val="22"/>
        </w:rPr>
        <w:t xml:space="preserve">has </w:t>
      </w:r>
      <w:r w:rsidRPr="00411B94">
        <w:rPr>
          <w:sz w:val="22"/>
          <w:szCs w:val="22"/>
        </w:rPr>
        <w:t>establish</w:t>
      </w:r>
      <w:r w:rsidR="005A44D5" w:rsidRPr="00411B94">
        <w:rPr>
          <w:sz w:val="22"/>
          <w:szCs w:val="22"/>
        </w:rPr>
        <w:t>ed</w:t>
      </w:r>
      <w:r w:rsidRPr="00411B94">
        <w:rPr>
          <w:sz w:val="22"/>
          <w:szCs w:val="22"/>
        </w:rPr>
        <w:t xml:space="preserve"> a minimum point threshold </w:t>
      </w:r>
      <w:r w:rsidR="005A44D5" w:rsidRPr="00411B94">
        <w:rPr>
          <w:sz w:val="22"/>
          <w:szCs w:val="22"/>
        </w:rPr>
        <w:t xml:space="preserve">of </w:t>
      </w:r>
      <w:r w:rsidR="002121E9" w:rsidRPr="00411B94">
        <w:rPr>
          <w:sz w:val="22"/>
          <w:szCs w:val="22"/>
        </w:rPr>
        <w:t>eighty</w:t>
      </w:r>
      <w:r w:rsidR="00091875" w:rsidRPr="00411B94">
        <w:rPr>
          <w:sz w:val="22"/>
          <w:szCs w:val="22"/>
        </w:rPr>
        <w:t>-five</w:t>
      </w:r>
      <w:r w:rsidR="005B527A" w:rsidRPr="00411B94">
        <w:rPr>
          <w:sz w:val="22"/>
          <w:szCs w:val="22"/>
        </w:rPr>
        <w:t xml:space="preserve"> </w:t>
      </w:r>
      <w:r w:rsidR="007829C8" w:rsidRPr="00411B94">
        <w:rPr>
          <w:sz w:val="22"/>
          <w:szCs w:val="22"/>
        </w:rPr>
        <w:t>(</w:t>
      </w:r>
      <w:r w:rsidR="00091875" w:rsidRPr="00411B94">
        <w:rPr>
          <w:sz w:val="22"/>
          <w:szCs w:val="22"/>
        </w:rPr>
        <w:t>85</w:t>
      </w:r>
      <w:r w:rsidR="007829C8" w:rsidRPr="00411B94">
        <w:rPr>
          <w:sz w:val="22"/>
          <w:szCs w:val="22"/>
        </w:rPr>
        <w:t>)</w:t>
      </w:r>
      <w:r w:rsidR="005A44D5" w:rsidRPr="00411B94">
        <w:rPr>
          <w:sz w:val="22"/>
          <w:szCs w:val="22"/>
        </w:rPr>
        <w:t xml:space="preserve"> points </w:t>
      </w:r>
      <w:r w:rsidRPr="00411B94">
        <w:rPr>
          <w:sz w:val="22"/>
          <w:szCs w:val="22"/>
        </w:rPr>
        <w:t xml:space="preserve">for Applications during the Year </w:t>
      </w:r>
      <w:r w:rsidR="00AF1F86">
        <w:rPr>
          <w:sz w:val="22"/>
          <w:szCs w:val="22"/>
        </w:rPr>
        <w:t>2016</w:t>
      </w:r>
      <w:r w:rsidR="004859B5" w:rsidRPr="00411B94">
        <w:rPr>
          <w:sz w:val="22"/>
          <w:szCs w:val="22"/>
        </w:rPr>
        <w:t xml:space="preserve"> </w:t>
      </w:r>
      <w:r w:rsidRPr="00411B94">
        <w:rPr>
          <w:sz w:val="22"/>
          <w:szCs w:val="22"/>
        </w:rPr>
        <w:t xml:space="preserve">Tax Credit Program.  The Agency reserves the right, at any time, to require submission of such documentation or additional support as it deems necessary to evidence any of the items set forth herein including, without limitation, additional independent market studies, independent appraisals, evidence of property location and accurate deed and title information, </w:t>
      </w:r>
      <w:r w:rsidR="00997179">
        <w:rPr>
          <w:sz w:val="22"/>
          <w:szCs w:val="22"/>
        </w:rPr>
        <w:t xml:space="preserve">investor data, </w:t>
      </w:r>
      <w:r w:rsidR="000F1C16" w:rsidRPr="00411B94">
        <w:rPr>
          <w:sz w:val="22"/>
          <w:szCs w:val="22"/>
        </w:rPr>
        <w:t xml:space="preserve">independent </w:t>
      </w:r>
      <w:r w:rsidR="00EF2D7E" w:rsidRPr="00411B94">
        <w:rPr>
          <w:sz w:val="22"/>
          <w:szCs w:val="22"/>
        </w:rPr>
        <w:t xml:space="preserve">capital needs assessments </w:t>
      </w:r>
      <w:r w:rsidRPr="00411B94">
        <w:rPr>
          <w:sz w:val="22"/>
          <w:szCs w:val="22"/>
        </w:rPr>
        <w:t xml:space="preserve">and opinions of qualified tax counsel or certified public accountants and will impose additional documentation or clarifying information as further set forth herein and in </w:t>
      </w:r>
      <w:r w:rsidR="00DF075A" w:rsidRPr="00411B94">
        <w:rPr>
          <w:sz w:val="22"/>
          <w:szCs w:val="22"/>
        </w:rPr>
        <w:t xml:space="preserve">the </w:t>
      </w:r>
      <w:r w:rsidR="00AF1F86">
        <w:rPr>
          <w:sz w:val="22"/>
          <w:szCs w:val="22"/>
        </w:rPr>
        <w:t>2016</w:t>
      </w:r>
      <w:r w:rsidR="006E3E15" w:rsidRPr="00411B94">
        <w:rPr>
          <w:sz w:val="22"/>
          <w:szCs w:val="22"/>
        </w:rPr>
        <w:t xml:space="preserve"> </w:t>
      </w:r>
      <w:r w:rsidRPr="00411B94">
        <w:rPr>
          <w:sz w:val="22"/>
          <w:szCs w:val="22"/>
        </w:rPr>
        <w:t xml:space="preserve">Guidelines.  </w:t>
      </w:r>
    </w:p>
    <w:p w:rsidR="000516C5" w:rsidRPr="00411B94" w:rsidRDefault="000516C5" w:rsidP="0049435E">
      <w:pPr>
        <w:pStyle w:val="Header"/>
        <w:tabs>
          <w:tab w:val="clear" w:pos="4320"/>
          <w:tab w:val="clear" w:pos="8640"/>
        </w:tabs>
        <w:spacing w:line="240" w:lineRule="auto"/>
        <w:ind w:firstLine="360"/>
        <w:rPr>
          <w:sz w:val="22"/>
          <w:szCs w:val="22"/>
        </w:rPr>
      </w:pPr>
    </w:p>
    <w:p w:rsidR="005B44FD" w:rsidRPr="00411B94" w:rsidRDefault="005F072D" w:rsidP="001E4B16">
      <w:pPr>
        <w:spacing w:line="240" w:lineRule="auto"/>
        <w:ind w:left="360" w:firstLine="360"/>
        <w:rPr>
          <w:sz w:val="22"/>
          <w:szCs w:val="22"/>
        </w:rPr>
      </w:pPr>
      <w:r w:rsidRPr="00411B94">
        <w:rPr>
          <w:sz w:val="22"/>
          <w:szCs w:val="22"/>
        </w:rPr>
        <w:t xml:space="preserve">All Tax Credit reservations are </w:t>
      </w:r>
      <w:r w:rsidR="00B135AC" w:rsidRPr="00411B94">
        <w:rPr>
          <w:sz w:val="22"/>
          <w:szCs w:val="22"/>
        </w:rPr>
        <w:t xml:space="preserve">made </w:t>
      </w:r>
      <w:r w:rsidRPr="00411B94">
        <w:rPr>
          <w:sz w:val="22"/>
          <w:szCs w:val="22"/>
        </w:rPr>
        <w:t xml:space="preserve">based upon the information contained in the Application.  Unless specifically directed </w:t>
      </w:r>
      <w:r w:rsidR="0065064F" w:rsidRPr="00411B94">
        <w:rPr>
          <w:sz w:val="22"/>
          <w:szCs w:val="22"/>
        </w:rPr>
        <w:t xml:space="preserve">or approved </w:t>
      </w:r>
      <w:r w:rsidRPr="00411B94">
        <w:rPr>
          <w:sz w:val="22"/>
          <w:szCs w:val="22"/>
        </w:rPr>
        <w:t xml:space="preserve">by the Agency, changes or supplements to an Application during the processing period for ranking are not permitted.  Changes to a development made by the </w:t>
      </w:r>
      <w:r w:rsidR="002D1116" w:rsidRPr="00411B94">
        <w:rPr>
          <w:sz w:val="22"/>
          <w:szCs w:val="22"/>
        </w:rPr>
        <w:t>Applicant</w:t>
      </w:r>
      <w:r w:rsidR="00380DEB" w:rsidRPr="00411B94">
        <w:rPr>
          <w:sz w:val="22"/>
          <w:szCs w:val="22"/>
        </w:rPr>
        <w:t xml:space="preserve"> </w:t>
      </w:r>
      <w:r w:rsidRPr="00411B94">
        <w:rPr>
          <w:sz w:val="22"/>
          <w:szCs w:val="22"/>
        </w:rPr>
        <w:t xml:space="preserve">after a reservation is received affecting any of the Selection Criteria features will result in reconsideration of the ranking and may lead to a “rescission” of the conditional reservation.  As a reminder, </w:t>
      </w:r>
      <w:r w:rsidR="00DF075A" w:rsidRPr="00411B94">
        <w:rPr>
          <w:sz w:val="22"/>
          <w:szCs w:val="22"/>
        </w:rPr>
        <w:t xml:space="preserve">certain </w:t>
      </w:r>
      <w:r w:rsidRPr="00411B94">
        <w:rPr>
          <w:sz w:val="22"/>
          <w:szCs w:val="22"/>
        </w:rPr>
        <w:t xml:space="preserve">Selection Criteria will be incorporated into the Restrictive Covenant Agreement and monitored during the compliance period.  Changes in any of the Selection Criteria subsequent to issuance of an </w:t>
      </w:r>
      <w:smartTag w:uri="urn:schemas-microsoft-com:office:smarttags" w:element="stockticker">
        <w:r w:rsidRPr="00411B94">
          <w:rPr>
            <w:sz w:val="22"/>
            <w:szCs w:val="22"/>
          </w:rPr>
          <w:t>IRS</w:t>
        </w:r>
      </w:smartTag>
      <w:r w:rsidRPr="00411B94">
        <w:rPr>
          <w:sz w:val="22"/>
          <w:szCs w:val="22"/>
        </w:rPr>
        <w:t xml:space="preserve"> Form 8609 may result in </w:t>
      </w:r>
      <w:r w:rsidRPr="00411B94">
        <w:rPr>
          <w:sz w:val="22"/>
          <w:szCs w:val="22"/>
        </w:rPr>
        <w:lastRenderedPageBreak/>
        <w:t>noncompliance, may lead to specific enforcement action against the development and may result in the loss of Tax Credits to the development and its investors.</w:t>
      </w:r>
      <w:r w:rsidR="005B44FD" w:rsidRPr="00411B94">
        <w:rPr>
          <w:sz w:val="22"/>
          <w:szCs w:val="22"/>
        </w:rPr>
        <w:t xml:space="preserve"> </w:t>
      </w:r>
    </w:p>
    <w:p w:rsidR="005F072D" w:rsidRPr="006657BC" w:rsidRDefault="005F072D" w:rsidP="00E94493">
      <w:pPr>
        <w:spacing w:line="240" w:lineRule="auto"/>
        <w:rPr>
          <w:sz w:val="16"/>
          <w:szCs w:val="16"/>
        </w:rPr>
      </w:pPr>
    </w:p>
    <w:p w:rsidR="00225C35" w:rsidRPr="00984420" w:rsidRDefault="005F072D" w:rsidP="001E4B16">
      <w:pPr>
        <w:spacing w:line="240" w:lineRule="auto"/>
        <w:ind w:left="360" w:firstLine="360"/>
        <w:rPr>
          <w:sz w:val="22"/>
          <w:szCs w:val="22"/>
        </w:rPr>
      </w:pPr>
      <w:r w:rsidRPr="00411B94">
        <w:rPr>
          <w:b/>
          <w:sz w:val="22"/>
          <w:szCs w:val="22"/>
        </w:rPr>
        <w:t xml:space="preserve">The scoring and ranking of </w:t>
      </w:r>
      <w:r w:rsidR="007668E9" w:rsidRPr="00411B94">
        <w:rPr>
          <w:b/>
          <w:sz w:val="22"/>
          <w:szCs w:val="22"/>
        </w:rPr>
        <w:t>an Application</w:t>
      </w:r>
      <w:r w:rsidRPr="00411B94">
        <w:rPr>
          <w:b/>
          <w:sz w:val="22"/>
          <w:szCs w:val="22"/>
        </w:rPr>
        <w:t xml:space="preserve"> does not guarantee funding by the Agency. </w:t>
      </w:r>
      <w:r w:rsidR="000F1C16" w:rsidRPr="00411B94">
        <w:rPr>
          <w:b/>
          <w:sz w:val="22"/>
          <w:szCs w:val="22"/>
        </w:rPr>
        <w:t xml:space="preserve"> </w:t>
      </w:r>
      <w:r w:rsidRPr="00411B94">
        <w:rPr>
          <w:b/>
          <w:sz w:val="22"/>
          <w:szCs w:val="22"/>
        </w:rPr>
        <w:t>In the event the Agency departs</w:t>
      </w:r>
      <w:r w:rsidR="0090150E">
        <w:rPr>
          <w:b/>
          <w:sz w:val="22"/>
          <w:szCs w:val="22"/>
        </w:rPr>
        <w:t xml:space="preserve"> significantly or materially</w:t>
      </w:r>
      <w:r w:rsidRPr="00411B94">
        <w:rPr>
          <w:b/>
          <w:sz w:val="22"/>
          <w:szCs w:val="22"/>
        </w:rPr>
        <w:t xml:space="preserve"> from the ranking and scoring criteria, it shall document such departure i</w:t>
      </w:r>
      <w:r w:rsidR="00286FC5" w:rsidRPr="00411B94">
        <w:rPr>
          <w:b/>
          <w:sz w:val="22"/>
          <w:szCs w:val="22"/>
        </w:rPr>
        <w:t>f required by</w:t>
      </w:r>
      <w:r w:rsidRPr="00411B94">
        <w:rPr>
          <w:b/>
          <w:sz w:val="22"/>
          <w:szCs w:val="22"/>
        </w:rPr>
        <w:t xml:space="preserve"> the Code</w:t>
      </w:r>
      <w:r w:rsidR="00984420" w:rsidRPr="00984420">
        <w:rPr>
          <w:b/>
          <w:sz w:val="22"/>
          <w:szCs w:val="22"/>
        </w:rPr>
        <w:t>.</w:t>
      </w:r>
      <w:r w:rsidR="000D2A8C">
        <w:rPr>
          <w:b/>
          <w:sz w:val="22"/>
          <w:szCs w:val="22"/>
        </w:rPr>
        <w:t xml:space="preserve">  De </w:t>
      </w:r>
      <w:proofErr w:type="spellStart"/>
      <w:r w:rsidR="000D2A8C">
        <w:rPr>
          <w:b/>
          <w:sz w:val="22"/>
          <w:szCs w:val="22"/>
        </w:rPr>
        <w:t>minimus</w:t>
      </w:r>
      <w:proofErr w:type="spellEnd"/>
      <w:r w:rsidR="0090150E">
        <w:rPr>
          <w:b/>
          <w:sz w:val="22"/>
          <w:szCs w:val="22"/>
        </w:rPr>
        <w:t xml:space="preserve"> adjustments, as determined by the Agency, are authorized.</w:t>
      </w:r>
    </w:p>
    <w:p w:rsidR="005F072D" w:rsidRPr="006657BC" w:rsidRDefault="005F072D" w:rsidP="0049435E">
      <w:pPr>
        <w:spacing w:line="240" w:lineRule="auto"/>
        <w:ind w:firstLine="360"/>
        <w:rPr>
          <w:sz w:val="16"/>
          <w:szCs w:val="16"/>
        </w:rPr>
      </w:pPr>
    </w:p>
    <w:p w:rsidR="006B6D79" w:rsidRPr="00411B94" w:rsidRDefault="005F072D" w:rsidP="006B6D79">
      <w:pPr>
        <w:tabs>
          <w:tab w:val="left" w:pos="360"/>
          <w:tab w:val="left" w:pos="720"/>
        </w:tabs>
        <w:spacing w:line="240" w:lineRule="auto"/>
        <w:ind w:left="720"/>
        <w:rPr>
          <w:sz w:val="22"/>
          <w:szCs w:val="22"/>
        </w:rPr>
      </w:pPr>
      <w:r w:rsidRPr="00411B94">
        <w:rPr>
          <w:sz w:val="22"/>
          <w:szCs w:val="22"/>
        </w:rPr>
        <w:t xml:space="preserve">The Selection Criteria are set forth in Exhibit </w:t>
      </w:r>
      <w:r w:rsidR="001D1B1D" w:rsidRPr="00411B94">
        <w:rPr>
          <w:sz w:val="22"/>
          <w:szCs w:val="22"/>
        </w:rPr>
        <w:t>SC</w:t>
      </w:r>
      <w:r w:rsidR="00AF1F86">
        <w:rPr>
          <w:sz w:val="22"/>
          <w:szCs w:val="22"/>
        </w:rPr>
        <w:t>2016</w:t>
      </w:r>
      <w:r w:rsidR="00EA2D11" w:rsidRPr="00411B94">
        <w:rPr>
          <w:sz w:val="22"/>
          <w:szCs w:val="22"/>
        </w:rPr>
        <w:t>.</w:t>
      </w:r>
    </w:p>
    <w:p w:rsidR="00001EE4" w:rsidRPr="006657BC" w:rsidRDefault="00001EE4" w:rsidP="006B6D79">
      <w:pPr>
        <w:tabs>
          <w:tab w:val="left" w:pos="360"/>
          <w:tab w:val="left" w:pos="720"/>
        </w:tabs>
        <w:spacing w:line="240" w:lineRule="auto"/>
        <w:ind w:left="720"/>
        <w:rPr>
          <w:sz w:val="16"/>
          <w:szCs w:val="16"/>
        </w:rPr>
      </w:pPr>
    </w:p>
    <w:p w:rsidR="005F072D" w:rsidRPr="00411B94" w:rsidRDefault="005F072D" w:rsidP="00001EE4">
      <w:pPr>
        <w:widowControl/>
        <w:adjustRightInd/>
        <w:spacing w:line="240" w:lineRule="auto"/>
        <w:ind w:left="360"/>
        <w:jc w:val="center"/>
        <w:textAlignment w:val="auto"/>
        <w:rPr>
          <w:b/>
          <w:sz w:val="22"/>
          <w:szCs w:val="22"/>
          <w:u w:val="single"/>
        </w:rPr>
      </w:pPr>
      <w:r w:rsidRPr="00411B94">
        <w:rPr>
          <w:b/>
          <w:sz w:val="22"/>
          <w:szCs w:val="22"/>
          <w:u w:val="single"/>
        </w:rPr>
        <w:t>RANKING OF DEVELOPMENTS</w:t>
      </w:r>
    </w:p>
    <w:p w:rsidR="005F072D" w:rsidRPr="00411B94" w:rsidRDefault="005F072D" w:rsidP="00E94493">
      <w:pPr>
        <w:spacing w:line="240" w:lineRule="auto"/>
        <w:rPr>
          <w:sz w:val="22"/>
          <w:szCs w:val="22"/>
        </w:rPr>
      </w:pPr>
    </w:p>
    <w:p w:rsidR="005F072D" w:rsidRPr="00411B94" w:rsidRDefault="007668E9" w:rsidP="001E4B16">
      <w:pPr>
        <w:spacing w:line="240" w:lineRule="auto"/>
        <w:ind w:left="360" w:firstLine="360"/>
        <w:rPr>
          <w:sz w:val="22"/>
          <w:szCs w:val="22"/>
        </w:rPr>
      </w:pPr>
      <w:r w:rsidRPr="00411B94">
        <w:rPr>
          <w:sz w:val="22"/>
          <w:szCs w:val="22"/>
        </w:rPr>
        <w:t>Applications</w:t>
      </w:r>
      <w:r w:rsidR="005F072D" w:rsidRPr="00411B94">
        <w:rPr>
          <w:sz w:val="22"/>
          <w:szCs w:val="22"/>
        </w:rPr>
        <w:t xml:space="preserve"> will be evaluated to determine the amount of Tax Credits required to make the </w:t>
      </w:r>
      <w:r w:rsidRPr="00411B94">
        <w:rPr>
          <w:sz w:val="22"/>
          <w:szCs w:val="22"/>
        </w:rPr>
        <w:t>Application</w:t>
      </w:r>
      <w:r w:rsidR="005F072D" w:rsidRPr="00411B94">
        <w:rPr>
          <w:sz w:val="22"/>
          <w:szCs w:val="22"/>
        </w:rPr>
        <w:t xml:space="preserve"> economically feasible and to ensure the </w:t>
      </w:r>
      <w:r w:rsidRPr="00411B94">
        <w:rPr>
          <w:sz w:val="22"/>
          <w:szCs w:val="22"/>
        </w:rPr>
        <w:t>Application</w:t>
      </w:r>
      <w:r w:rsidR="005F072D" w:rsidRPr="00411B94">
        <w:rPr>
          <w:sz w:val="22"/>
          <w:szCs w:val="22"/>
        </w:rPr>
        <w:t xml:space="preserve">'s long term viability.  If two or more developments have the same ranking within a </w:t>
      </w:r>
      <w:r w:rsidR="00091875" w:rsidRPr="00411B94">
        <w:rPr>
          <w:sz w:val="22"/>
          <w:szCs w:val="22"/>
        </w:rPr>
        <w:t>Set-Aside, Pool or Preference</w:t>
      </w:r>
      <w:r w:rsidR="005F072D" w:rsidRPr="00411B94">
        <w:rPr>
          <w:sz w:val="22"/>
          <w:szCs w:val="22"/>
        </w:rPr>
        <w:t xml:space="preserve"> and only one</w:t>
      </w:r>
      <w:r w:rsidRPr="00411B94">
        <w:rPr>
          <w:sz w:val="22"/>
          <w:szCs w:val="22"/>
        </w:rPr>
        <w:t xml:space="preserve"> Application</w:t>
      </w:r>
      <w:r w:rsidR="005F072D" w:rsidRPr="00411B94">
        <w:rPr>
          <w:sz w:val="22"/>
          <w:szCs w:val="22"/>
        </w:rPr>
        <w:t xml:space="preserve"> can be awarded </w:t>
      </w:r>
      <w:r w:rsidR="00773330" w:rsidRPr="00411B94">
        <w:rPr>
          <w:sz w:val="22"/>
          <w:szCs w:val="22"/>
        </w:rPr>
        <w:t xml:space="preserve">Tax </w:t>
      </w:r>
      <w:r w:rsidR="00BD4BB6" w:rsidRPr="00411B94">
        <w:rPr>
          <w:sz w:val="22"/>
          <w:szCs w:val="22"/>
        </w:rPr>
        <w:t>Credits</w:t>
      </w:r>
      <w:r w:rsidR="005F072D" w:rsidRPr="00411B94">
        <w:rPr>
          <w:sz w:val="22"/>
          <w:szCs w:val="22"/>
        </w:rPr>
        <w:t xml:space="preserve">, the Agency will select the </w:t>
      </w:r>
      <w:r w:rsidRPr="00411B94">
        <w:rPr>
          <w:sz w:val="22"/>
          <w:szCs w:val="22"/>
        </w:rPr>
        <w:t>Application</w:t>
      </w:r>
      <w:r w:rsidR="005F072D" w:rsidRPr="00411B94">
        <w:rPr>
          <w:sz w:val="22"/>
          <w:szCs w:val="22"/>
        </w:rPr>
        <w:t xml:space="preserve"> that has a higher percentage of units available to residents whose incomes are at or below 50 percent of area median gross income as compared to total number of Tax Credit eligible units.  If the</w:t>
      </w:r>
      <w:r w:rsidRPr="00411B94">
        <w:rPr>
          <w:sz w:val="22"/>
          <w:szCs w:val="22"/>
        </w:rPr>
        <w:t xml:space="preserve"> Applications</w:t>
      </w:r>
      <w:r w:rsidR="005F072D" w:rsidRPr="00411B94">
        <w:rPr>
          <w:sz w:val="22"/>
          <w:szCs w:val="22"/>
        </w:rPr>
        <w:t xml:space="preserve"> have the same</w:t>
      </w:r>
      <w:r w:rsidR="008D11DE" w:rsidRPr="00411B94">
        <w:rPr>
          <w:sz w:val="22"/>
          <w:szCs w:val="22"/>
        </w:rPr>
        <w:t xml:space="preserve"> </w:t>
      </w:r>
      <w:r w:rsidR="0065064F" w:rsidRPr="00411B94">
        <w:rPr>
          <w:sz w:val="22"/>
          <w:szCs w:val="22"/>
        </w:rPr>
        <w:t>percentage of units serving resident</w:t>
      </w:r>
      <w:r w:rsidR="00EE3162" w:rsidRPr="00411B94">
        <w:rPr>
          <w:sz w:val="22"/>
          <w:szCs w:val="22"/>
        </w:rPr>
        <w:t>s</w:t>
      </w:r>
      <w:r w:rsidR="0065064F" w:rsidRPr="00411B94">
        <w:rPr>
          <w:sz w:val="22"/>
          <w:szCs w:val="22"/>
        </w:rPr>
        <w:t xml:space="preserve"> at or below 50 percent of area median income</w:t>
      </w:r>
      <w:r w:rsidR="005F072D" w:rsidRPr="00411B94">
        <w:rPr>
          <w:sz w:val="22"/>
          <w:szCs w:val="22"/>
        </w:rPr>
        <w:t xml:space="preserve">, the Agency may select the Application that it determines best fits </w:t>
      </w:r>
      <w:r w:rsidR="00DF075A" w:rsidRPr="00411B94">
        <w:rPr>
          <w:sz w:val="22"/>
          <w:szCs w:val="22"/>
        </w:rPr>
        <w:t xml:space="preserve">the </w:t>
      </w:r>
      <w:r w:rsidR="000E2A6A" w:rsidRPr="00411B94">
        <w:rPr>
          <w:sz w:val="22"/>
          <w:szCs w:val="22"/>
        </w:rPr>
        <w:t xml:space="preserve">Agency’s </w:t>
      </w:r>
      <w:r w:rsidR="005F072D" w:rsidRPr="00411B94">
        <w:rPr>
          <w:sz w:val="22"/>
          <w:szCs w:val="22"/>
        </w:rPr>
        <w:t>affordable housing priorities and achieves geographic distribution.</w:t>
      </w:r>
      <w:r w:rsidR="000E03DB" w:rsidRPr="00411B94">
        <w:rPr>
          <w:sz w:val="22"/>
          <w:szCs w:val="22"/>
        </w:rPr>
        <w:t xml:space="preserve">  In any instance, the Agency may favor selection of a</w:t>
      </w:r>
      <w:r w:rsidRPr="00411B94">
        <w:rPr>
          <w:sz w:val="22"/>
          <w:szCs w:val="22"/>
        </w:rPr>
        <w:t>n Application</w:t>
      </w:r>
      <w:r w:rsidR="000E03DB" w:rsidRPr="00411B94">
        <w:rPr>
          <w:sz w:val="22"/>
          <w:szCs w:val="22"/>
        </w:rPr>
        <w:t xml:space="preserve"> which best evidences an ability to proceed.   </w:t>
      </w:r>
    </w:p>
    <w:p w:rsidR="005F072D" w:rsidRPr="00411B94" w:rsidRDefault="005F072D"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The Agency's determination as to the amount of Tax Credits reserved for or allocated to a</w:t>
      </w:r>
      <w:r w:rsidR="002D1116" w:rsidRPr="00411B94">
        <w:rPr>
          <w:sz w:val="22"/>
          <w:szCs w:val="22"/>
        </w:rPr>
        <w:t>n</w:t>
      </w:r>
      <w:r w:rsidRPr="00411B94">
        <w:rPr>
          <w:sz w:val="22"/>
          <w:szCs w:val="22"/>
        </w:rPr>
        <w:t xml:space="preserve"> </w:t>
      </w:r>
      <w:r w:rsidR="007668E9" w:rsidRPr="00411B94">
        <w:rPr>
          <w:sz w:val="22"/>
          <w:szCs w:val="22"/>
        </w:rPr>
        <w:t>Application</w:t>
      </w:r>
      <w:r w:rsidRPr="00411B94">
        <w:rPr>
          <w:sz w:val="22"/>
          <w:szCs w:val="22"/>
        </w:rPr>
        <w:t xml:space="preserve"> shall not be construed by the developer, lender, or any other interested party to be a warranty of the </w:t>
      </w:r>
      <w:r w:rsidR="007668E9" w:rsidRPr="00411B94">
        <w:rPr>
          <w:sz w:val="22"/>
          <w:szCs w:val="22"/>
        </w:rPr>
        <w:t>Application</w:t>
      </w:r>
      <w:r w:rsidRPr="00411B94">
        <w:rPr>
          <w:sz w:val="22"/>
          <w:szCs w:val="22"/>
        </w:rPr>
        <w:t>'s feasibility and viability, nor shall such determination constitute a representation of compliance with any requirements of the Code.</w:t>
      </w:r>
    </w:p>
    <w:p w:rsidR="00D325AC" w:rsidRPr="00411B94" w:rsidRDefault="00D325AC" w:rsidP="001E4B16">
      <w:pPr>
        <w:spacing w:line="240" w:lineRule="auto"/>
        <w:ind w:left="360" w:firstLine="360"/>
        <w:rPr>
          <w:sz w:val="22"/>
          <w:szCs w:val="22"/>
        </w:rPr>
      </w:pPr>
    </w:p>
    <w:p w:rsidR="00D325AC" w:rsidRPr="00411B94" w:rsidRDefault="00D325AC" w:rsidP="00D325AC">
      <w:pPr>
        <w:spacing w:line="240" w:lineRule="auto"/>
        <w:jc w:val="center"/>
        <w:rPr>
          <w:b/>
          <w:sz w:val="22"/>
          <w:szCs w:val="22"/>
          <w:u w:val="single"/>
        </w:rPr>
      </w:pPr>
      <w:r w:rsidRPr="00411B94">
        <w:rPr>
          <w:b/>
          <w:sz w:val="22"/>
          <w:szCs w:val="22"/>
          <w:u w:val="single"/>
        </w:rPr>
        <w:t>DEVELOPER'S FEE</w:t>
      </w:r>
    </w:p>
    <w:p w:rsidR="00D325AC" w:rsidRPr="00411B94" w:rsidRDefault="00D325AC" w:rsidP="00D325AC">
      <w:pPr>
        <w:spacing w:line="240" w:lineRule="auto"/>
        <w:rPr>
          <w:sz w:val="22"/>
          <w:szCs w:val="22"/>
        </w:rPr>
      </w:pPr>
    </w:p>
    <w:p w:rsidR="00D325AC" w:rsidRPr="00411B94" w:rsidRDefault="00D325AC" w:rsidP="00D325AC">
      <w:pPr>
        <w:spacing w:line="240" w:lineRule="auto"/>
        <w:ind w:left="360" w:firstLine="360"/>
        <w:rPr>
          <w:sz w:val="22"/>
          <w:szCs w:val="22"/>
        </w:rPr>
      </w:pPr>
      <w:r w:rsidRPr="00411B94">
        <w:rPr>
          <w:sz w:val="22"/>
          <w:szCs w:val="22"/>
        </w:rPr>
        <w:t>The developer's fee, which is meant to compensate the developer for staff time, effort and work involved in the development of the property, includes developer's expenses, overhead, profit and consulting fees or other fees and costs that are above the maximums allowed by the Agency.  Development consultant's fees and organizational costs are required to be paid from the developer's fee.  These fees may not be listed and shall not be recognized as separate line items on the Application.</w:t>
      </w:r>
    </w:p>
    <w:p w:rsidR="00D325AC" w:rsidRPr="00411B94" w:rsidRDefault="00D325AC" w:rsidP="00D325AC">
      <w:pPr>
        <w:spacing w:line="240" w:lineRule="auto"/>
        <w:rPr>
          <w:b/>
          <w:sz w:val="16"/>
          <w:szCs w:val="16"/>
          <w:u w:val="single"/>
        </w:rPr>
      </w:pPr>
    </w:p>
    <w:p w:rsidR="00D325AC" w:rsidRPr="00411B94" w:rsidRDefault="00D325AC" w:rsidP="00D325AC">
      <w:pPr>
        <w:spacing w:line="240" w:lineRule="auto"/>
        <w:ind w:left="360" w:firstLine="360"/>
        <w:rPr>
          <w:sz w:val="22"/>
          <w:szCs w:val="22"/>
        </w:rPr>
      </w:pPr>
      <w:r w:rsidRPr="00411B94">
        <w:rPr>
          <w:sz w:val="22"/>
          <w:szCs w:val="22"/>
        </w:rPr>
        <w:t xml:space="preserve">The maximum “base” developer fee allowable (except as limited below) is calculated on the lesser of the development’s replacement cost (less all costs of acquisition) or the Agency’s maximum basis.  For developments that have 25 or more units, the developer's fee is limited to 15 percent of the first </w:t>
      </w:r>
      <w:r w:rsidRPr="00411B94">
        <w:rPr>
          <w:sz w:val="22"/>
          <w:szCs w:val="22"/>
          <w:u w:color="FF0000"/>
        </w:rPr>
        <w:t>$10</w:t>
      </w:r>
      <w:r w:rsidRPr="00411B94">
        <w:rPr>
          <w:sz w:val="22"/>
          <w:szCs w:val="22"/>
        </w:rPr>
        <w:t xml:space="preserve"> million of replacement cost of the development less all costs of acquisition and 10 percent on every $1 of replacement cost thereafter.  For developments of 24 units or less, the developer's fee is limited to 20 percent of the replacement cost of the development less all costs of acquisition.  </w:t>
      </w:r>
    </w:p>
    <w:p w:rsidR="00D325AC" w:rsidRPr="00411B94" w:rsidRDefault="00D325AC" w:rsidP="00D325AC">
      <w:pPr>
        <w:spacing w:line="240" w:lineRule="auto"/>
        <w:ind w:left="360" w:firstLine="360"/>
        <w:rPr>
          <w:sz w:val="22"/>
          <w:szCs w:val="22"/>
        </w:rPr>
      </w:pPr>
    </w:p>
    <w:p w:rsidR="00D325AC" w:rsidRPr="00411B94" w:rsidRDefault="00D325AC" w:rsidP="00D325AC">
      <w:pPr>
        <w:spacing w:line="240" w:lineRule="auto"/>
        <w:ind w:left="360" w:firstLine="360"/>
        <w:rPr>
          <w:sz w:val="22"/>
          <w:szCs w:val="22"/>
        </w:rPr>
      </w:pPr>
      <w:r w:rsidRPr="00411B94">
        <w:rPr>
          <w:sz w:val="22"/>
          <w:szCs w:val="22"/>
        </w:rPr>
        <w:t>In determining the maximum base developer fee the following criteria must also be considered:</w:t>
      </w:r>
    </w:p>
    <w:p w:rsidR="00D325AC" w:rsidRPr="00411B94" w:rsidRDefault="00D325AC" w:rsidP="00D325AC">
      <w:pPr>
        <w:pStyle w:val="ListParagraph"/>
        <w:numPr>
          <w:ilvl w:val="0"/>
          <w:numId w:val="53"/>
        </w:numPr>
        <w:spacing w:before="120" w:line="240" w:lineRule="auto"/>
        <w:contextualSpacing w:val="0"/>
        <w:rPr>
          <w:sz w:val="22"/>
          <w:szCs w:val="22"/>
        </w:rPr>
      </w:pPr>
      <w:r w:rsidRPr="00411B94">
        <w:rPr>
          <w:sz w:val="22"/>
          <w:szCs w:val="22"/>
        </w:rPr>
        <w:t xml:space="preserve">The developer’s fee to be earned on </w:t>
      </w:r>
      <w:r w:rsidR="002D1116" w:rsidRPr="00411B94">
        <w:rPr>
          <w:sz w:val="22"/>
          <w:szCs w:val="22"/>
        </w:rPr>
        <w:t>Application</w:t>
      </w:r>
      <w:r w:rsidRPr="00411B94">
        <w:rPr>
          <w:sz w:val="22"/>
          <w:szCs w:val="22"/>
        </w:rPr>
        <w:t>s from existing Tax Credit properties with the same or a related party or affiliated entity as the general partner on t</w:t>
      </w:r>
      <w:r w:rsidR="0090150E">
        <w:rPr>
          <w:sz w:val="22"/>
          <w:szCs w:val="22"/>
        </w:rPr>
        <w:t>he original A</w:t>
      </w:r>
      <w:r w:rsidRPr="00411B94">
        <w:rPr>
          <w:sz w:val="22"/>
          <w:szCs w:val="22"/>
        </w:rPr>
        <w:t xml:space="preserve">pplication will be limited to 10 percent of replacement cost less all costs of acquisition.  </w:t>
      </w:r>
    </w:p>
    <w:p w:rsidR="00D325AC" w:rsidRPr="00411B94" w:rsidRDefault="00D325AC" w:rsidP="00D325AC">
      <w:pPr>
        <w:pStyle w:val="ListParagraph"/>
        <w:numPr>
          <w:ilvl w:val="0"/>
          <w:numId w:val="53"/>
        </w:numPr>
        <w:spacing w:before="120" w:line="240" w:lineRule="auto"/>
        <w:contextualSpacing w:val="0"/>
        <w:rPr>
          <w:sz w:val="22"/>
          <w:szCs w:val="22"/>
        </w:rPr>
      </w:pPr>
      <w:r w:rsidRPr="00411B94">
        <w:rPr>
          <w:sz w:val="22"/>
          <w:szCs w:val="22"/>
        </w:rPr>
        <w:t xml:space="preserve">The developer’s fee to be earned on </w:t>
      </w:r>
      <w:r w:rsidR="002D1116" w:rsidRPr="00411B94">
        <w:rPr>
          <w:sz w:val="22"/>
          <w:szCs w:val="22"/>
        </w:rPr>
        <w:t>Application</w:t>
      </w:r>
      <w:r w:rsidRPr="00411B94">
        <w:rPr>
          <w:sz w:val="22"/>
          <w:szCs w:val="22"/>
        </w:rPr>
        <w:t>s from subsequent phases of a project previously awarded tax credits may be limited to 10 percent of replacement costs less all costs of acquisition.</w:t>
      </w:r>
    </w:p>
    <w:p w:rsidR="00D325AC" w:rsidRPr="00411B94" w:rsidRDefault="00D325AC" w:rsidP="00D325AC">
      <w:pPr>
        <w:pStyle w:val="ListParagraph"/>
        <w:numPr>
          <w:ilvl w:val="0"/>
          <w:numId w:val="53"/>
        </w:numPr>
        <w:spacing w:before="120" w:line="240" w:lineRule="auto"/>
        <w:contextualSpacing w:val="0"/>
        <w:rPr>
          <w:sz w:val="22"/>
          <w:szCs w:val="22"/>
        </w:rPr>
      </w:pPr>
      <w:r w:rsidRPr="00411B94">
        <w:rPr>
          <w:sz w:val="22"/>
          <w:szCs w:val="22"/>
        </w:rPr>
        <w:t xml:space="preserve">For rehabilitation and preservation developments that qualify for Acquisition Tax Credits, a developer's fee will be allowed on a portion of the acquisition cost that is basis eligible.  The fee is limited to 10 percent of the purchase price of the property less the cost of the land.  The maximum acquisition cost that will be recognized in determining the developer's fee will be the lesser of the actual amount paid for the building or the </w:t>
      </w:r>
      <w:smartTag w:uri="urn:schemas-microsoft-com:office:smarttags" w:element="stockticker">
        <w:r w:rsidRPr="00411B94">
          <w:rPr>
            <w:sz w:val="22"/>
            <w:szCs w:val="22"/>
          </w:rPr>
          <w:t>MAI</w:t>
        </w:r>
      </w:smartTag>
      <w:r w:rsidRPr="00411B94">
        <w:rPr>
          <w:sz w:val="22"/>
          <w:szCs w:val="22"/>
        </w:rPr>
        <w:t xml:space="preserve"> appraised value.  The Agency may limit the acquisition developer's fee to 5 </w:t>
      </w:r>
      <w:r w:rsidRPr="00411B94">
        <w:rPr>
          <w:sz w:val="22"/>
          <w:szCs w:val="22"/>
        </w:rPr>
        <w:lastRenderedPageBreak/>
        <w:t>percent if the seller and buyer are related parties.</w:t>
      </w:r>
    </w:p>
    <w:p w:rsidR="00D325AC" w:rsidRPr="00411B94" w:rsidRDefault="00D325AC" w:rsidP="00D325AC">
      <w:pPr>
        <w:pStyle w:val="ListParagraph"/>
        <w:numPr>
          <w:ilvl w:val="0"/>
          <w:numId w:val="53"/>
        </w:numPr>
        <w:spacing w:before="120" w:line="240" w:lineRule="auto"/>
        <w:contextualSpacing w:val="0"/>
        <w:rPr>
          <w:sz w:val="22"/>
          <w:szCs w:val="22"/>
        </w:rPr>
      </w:pPr>
      <w:r w:rsidRPr="00411B94">
        <w:rPr>
          <w:sz w:val="22"/>
          <w:szCs w:val="22"/>
        </w:rPr>
        <w:t xml:space="preserve">The Agency may impose </w:t>
      </w:r>
      <w:r w:rsidRPr="00411B94">
        <w:rPr>
          <w:sz w:val="22"/>
          <w:szCs w:val="22"/>
          <w:u w:color="FF0000"/>
        </w:rPr>
        <w:t>a developer's fee cap of $1,500,000 per development on the total developer's fee allowable for costs associated with both the rehabilitation and acquisition of the development.</w:t>
      </w:r>
    </w:p>
    <w:p w:rsidR="00E47027" w:rsidRDefault="00D325AC" w:rsidP="00E47027">
      <w:pPr>
        <w:pStyle w:val="ListParagraph"/>
        <w:numPr>
          <w:ilvl w:val="0"/>
          <w:numId w:val="53"/>
        </w:numPr>
        <w:spacing w:before="120" w:line="240" w:lineRule="auto"/>
        <w:contextualSpacing w:val="0"/>
        <w:rPr>
          <w:sz w:val="22"/>
          <w:szCs w:val="22"/>
        </w:rPr>
      </w:pPr>
      <w:r w:rsidRPr="00411B94">
        <w:rPr>
          <w:sz w:val="22"/>
          <w:szCs w:val="22"/>
        </w:rPr>
        <w:t xml:space="preserve">Additional developer's fee will not be available for </w:t>
      </w:r>
      <w:r w:rsidR="002D1116" w:rsidRPr="00411B94">
        <w:rPr>
          <w:sz w:val="22"/>
          <w:szCs w:val="22"/>
        </w:rPr>
        <w:t>Application</w:t>
      </w:r>
      <w:r w:rsidRPr="00411B94">
        <w:rPr>
          <w:sz w:val="22"/>
          <w:szCs w:val="22"/>
        </w:rPr>
        <w:t>s requesting Additional Tax Credits</w:t>
      </w:r>
      <w:r w:rsidR="006047F3" w:rsidRPr="00411B94">
        <w:rPr>
          <w:sz w:val="22"/>
          <w:szCs w:val="22"/>
        </w:rPr>
        <w:t>.</w:t>
      </w:r>
    </w:p>
    <w:p w:rsidR="0071479C" w:rsidRPr="00411B94" w:rsidRDefault="0071479C" w:rsidP="00D325AC">
      <w:pPr>
        <w:pStyle w:val="ListParagraph"/>
        <w:numPr>
          <w:ilvl w:val="0"/>
          <w:numId w:val="53"/>
        </w:numPr>
        <w:spacing w:before="120" w:line="240" w:lineRule="auto"/>
        <w:contextualSpacing w:val="0"/>
        <w:rPr>
          <w:sz w:val="22"/>
          <w:szCs w:val="22"/>
        </w:rPr>
      </w:pPr>
      <w:r w:rsidRPr="00411B94">
        <w:rPr>
          <w:sz w:val="22"/>
          <w:szCs w:val="22"/>
        </w:rPr>
        <w:t>Requests for an increase in the amount of the maximum base developer fee after the initial award of Tax Credits will not be accepted.</w:t>
      </w:r>
    </w:p>
    <w:p w:rsidR="00D325AC" w:rsidRPr="00411B94" w:rsidRDefault="00D325AC" w:rsidP="00D325AC">
      <w:pPr>
        <w:spacing w:line="240" w:lineRule="auto"/>
        <w:rPr>
          <w:b/>
          <w:sz w:val="22"/>
          <w:szCs w:val="22"/>
        </w:rPr>
      </w:pPr>
    </w:p>
    <w:p w:rsidR="009F455C" w:rsidRDefault="009F455C" w:rsidP="00D325AC">
      <w:pPr>
        <w:spacing w:line="240" w:lineRule="auto"/>
        <w:ind w:left="360" w:firstLine="360"/>
        <w:rPr>
          <w:sz w:val="22"/>
          <w:szCs w:val="22"/>
        </w:rPr>
      </w:pPr>
    </w:p>
    <w:p w:rsidR="00D325AC" w:rsidRPr="00411B94" w:rsidRDefault="00D325AC" w:rsidP="00D325AC">
      <w:pPr>
        <w:spacing w:line="240" w:lineRule="auto"/>
        <w:ind w:left="360" w:firstLine="360"/>
        <w:rPr>
          <w:sz w:val="22"/>
          <w:szCs w:val="22"/>
        </w:rPr>
      </w:pPr>
      <w:r w:rsidRPr="00411B94">
        <w:rPr>
          <w:sz w:val="22"/>
          <w:szCs w:val="22"/>
        </w:rPr>
        <w:t>In addition to the maximum base developer fee, Applicants may request an additional 5 percent developer fee.   The 5 percent is determined exclusive of acquisition costs.  The  Applicant must commit to provide to the development the entire amount of the equity raised for the additional developer’s fee to fund an internal rent subsidy for all threshold required units set aside for persons at or below 20 percent of area median income for the initial 15 year compliance period and/or to subsidize rents to persons with income at or below 40 percent of the area median income for the initial 15 year compliance period; or to fund a supportive services escrow for the provision of social supportive services for the benefit of the residents (provided the plan for services is satisfactory to the Agency).  Funds deposited in an internal rent subsidy will be limited to the difference between the 20 percent/40 percent rent and the rent at 50 percent of area median income, as applicable. The Agency reserves the right to determine the exact mechanism necessary and appropriate to ensure funding of the internal rent subsidy or supportive service escrow based on specific tax issues and ownership structure.</w:t>
      </w:r>
      <w:r w:rsidR="0090150E">
        <w:rPr>
          <w:sz w:val="22"/>
          <w:szCs w:val="22"/>
        </w:rPr>
        <w:t xml:space="preserve">  Additionally, during the initial 15 year compliance period, the Agency may review, approve and monitor utilization of the internal rent subsidy or supportive service escrow funds.</w:t>
      </w:r>
      <w:r w:rsidRPr="00411B94">
        <w:rPr>
          <w:sz w:val="22"/>
          <w:szCs w:val="22"/>
        </w:rPr>
        <w:t xml:space="preserve">  For developments not receiving Agency financing, Agency staff will only approve an increased developer’s fee if the </w:t>
      </w:r>
      <w:r w:rsidR="002D1116" w:rsidRPr="00411B94">
        <w:rPr>
          <w:sz w:val="22"/>
          <w:szCs w:val="22"/>
        </w:rPr>
        <w:t>Applicant</w:t>
      </w:r>
      <w:r w:rsidRPr="00411B94">
        <w:rPr>
          <w:sz w:val="22"/>
          <w:szCs w:val="22"/>
        </w:rPr>
        <w:t xml:space="preserve"> provides adequate assurances and documentation (including evidence of a third party escrow arrangement) that an amount of funds equal to the increased equity raised from the additional developer's fee is necessary to support financial operations and will be committed to the</w:t>
      </w:r>
      <w:r w:rsidR="00E41FCC" w:rsidRPr="00411B94">
        <w:rPr>
          <w:sz w:val="22"/>
          <w:szCs w:val="22"/>
        </w:rPr>
        <w:t xml:space="preserve"> Project</w:t>
      </w:r>
      <w:r w:rsidRPr="00411B94">
        <w:rPr>
          <w:sz w:val="22"/>
          <w:szCs w:val="22"/>
        </w:rPr>
        <w:t xml:space="preserve"> for at least the initial 15 year occupancy period.  Whenever an increased developer's fee is allowed, the partnership or operating agreement must provide that the approved developer's fee will, in fact, be paid to the developer from available funds (which may include development sources, operating revenue and additional capital contributions).  Additionally, provision of funds for supportive services or to fund various internal rent subsidies will be incorporated in the Restrictive Covenant Agreement.  </w:t>
      </w:r>
    </w:p>
    <w:p w:rsidR="00CE0F08" w:rsidRPr="00411B94" w:rsidRDefault="00CE0F08" w:rsidP="00CE0F08">
      <w:pPr>
        <w:widowControl/>
        <w:adjustRightInd/>
        <w:spacing w:line="240" w:lineRule="auto"/>
        <w:jc w:val="left"/>
        <w:textAlignment w:val="auto"/>
        <w:rPr>
          <w:b/>
          <w:sz w:val="22"/>
          <w:szCs w:val="22"/>
          <w:u w:val="single"/>
        </w:rPr>
      </w:pPr>
    </w:p>
    <w:p w:rsidR="005F072D" w:rsidRPr="00411B94" w:rsidRDefault="005F072D" w:rsidP="00E94493">
      <w:pPr>
        <w:spacing w:line="240" w:lineRule="auto"/>
        <w:jc w:val="center"/>
        <w:rPr>
          <w:b/>
          <w:sz w:val="22"/>
          <w:szCs w:val="22"/>
          <w:u w:val="single"/>
        </w:rPr>
      </w:pPr>
      <w:r w:rsidRPr="00411B94">
        <w:rPr>
          <w:b/>
          <w:sz w:val="22"/>
          <w:szCs w:val="22"/>
          <w:u w:val="single"/>
        </w:rPr>
        <w:t>TAX EXEMPT FINANCED DEVELOPMENTS</w:t>
      </w:r>
    </w:p>
    <w:p w:rsidR="005F072D" w:rsidRPr="00411B94" w:rsidRDefault="005F072D" w:rsidP="00E94493">
      <w:pPr>
        <w:spacing w:line="240" w:lineRule="auto"/>
        <w:rPr>
          <w:sz w:val="16"/>
          <w:szCs w:val="16"/>
        </w:rPr>
      </w:pPr>
    </w:p>
    <w:p w:rsidR="005F072D" w:rsidRPr="00411B94" w:rsidRDefault="005F072D" w:rsidP="001E4B16">
      <w:pPr>
        <w:spacing w:line="240" w:lineRule="auto"/>
        <w:ind w:left="360" w:firstLine="360"/>
        <w:rPr>
          <w:sz w:val="22"/>
          <w:szCs w:val="22"/>
        </w:rPr>
      </w:pPr>
      <w:r w:rsidRPr="00411B94">
        <w:rPr>
          <w:sz w:val="22"/>
          <w:szCs w:val="22"/>
        </w:rPr>
        <w:t xml:space="preserve">All tax exempt financed developments utilizing Tax Credits in their financing plan </w:t>
      </w:r>
      <w:r w:rsidR="00EC47DE" w:rsidRPr="00411B94">
        <w:rPr>
          <w:sz w:val="22"/>
          <w:szCs w:val="22"/>
        </w:rPr>
        <w:t xml:space="preserve">must submit a Tax Credit Application and </w:t>
      </w:r>
      <w:r w:rsidRPr="00411B94">
        <w:rPr>
          <w:sz w:val="22"/>
          <w:szCs w:val="22"/>
        </w:rPr>
        <w:t xml:space="preserve">must be evaluated in accordance with the </w:t>
      </w:r>
      <w:r w:rsidR="00AF1F86">
        <w:rPr>
          <w:sz w:val="22"/>
          <w:szCs w:val="22"/>
        </w:rPr>
        <w:t>2016</w:t>
      </w:r>
      <w:r w:rsidR="00B41633" w:rsidRPr="00411B94">
        <w:rPr>
          <w:sz w:val="22"/>
          <w:szCs w:val="22"/>
        </w:rPr>
        <w:t xml:space="preserve"> </w:t>
      </w:r>
      <w:r w:rsidRPr="00411B94">
        <w:rPr>
          <w:sz w:val="22"/>
          <w:szCs w:val="22"/>
        </w:rPr>
        <w:t xml:space="preserve">Tax Credit Allocation Plan and </w:t>
      </w:r>
      <w:r w:rsidR="006E3E15" w:rsidRPr="00411B94">
        <w:rPr>
          <w:sz w:val="22"/>
          <w:szCs w:val="22"/>
        </w:rPr>
        <w:t xml:space="preserve">the </w:t>
      </w:r>
      <w:r w:rsidR="00AF1F86">
        <w:rPr>
          <w:sz w:val="22"/>
          <w:szCs w:val="22"/>
        </w:rPr>
        <w:t>2016</w:t>
      </w:r>
      <w:r w:rsidR="00B41633" w:rsidRPr="00411B94">
        <w:rPr>
          <w:sz w:val="22"/>
          <w:szCs w:val="22"/>
        </w:rPr>
        <w:t xml:space="preserve"> </w:t>
      </w:r>
      <w:r w:rsidRPr="00411B94">
        <w:rPr>
          <w:sz w:val="22"/>
          <w:szCs w:val="22"/>
        </w:rPr>
        <w:t xml:space="preserve">Guidelines.  Developments receiving tax exempt financing for at least 50 percent of the aggregate basis of the property including land are not required to receive an allocation of Tax Credits through competitive allocation from the Agency.  The eligible basis of the development would qualify for the Tax Credits without competing through the regular allocation </w:t>
      </w:r>
      <w:proofErr w:type="gramStart"/>
      <w:r w:rsidRPr="00411B94">
        <w:rPr>
          <w:sz w:val="22"/>
          <w:szCs w:val="22"/>
        </w:rPr>
        <w:t>process</w:t>
      </w:r>
      <w:r w:rsidR="00FE0E2D" w:rsidRPr="00411B94">
        <w:rPr>
          <w:sz w:val="22"/>
          <w:szCs w:val="22"/>
        </w:rPr>
        <w:t>,</w:t>
      </w:r>
      <w:proofErr w:type="gramEnd"/>
      <w:r w:rsidR="00E607E9" w:rsidRPr="00411B94">
        <w:rPr>
          <w:sz w:val="22"/>
          <w:szCs w:val="22"/>
        </w:rPr>
        <w:t xml:space="preserve"> </w:t>
      </w:r>
      <w:r w:rsidR="00C05C97" w:rsidRPr="00411B94">
        <w:rPr>
          <w:sz w:val="22"/>
          <w:szCs w:val="22"/>
          <w:u w:color="FF0000"/>
        </w:rPr>
        <w:t>however, the Agency</w:t>
      </w:r>
      <w:r w:rsidR="00E607E9" w:rsidRPr="00411B94">
        <w:rPr>
          <w:sz w:val="22"/>
          <w:szCs w:val="22"/>
          <w:u w:color="FF0000"/>
        </w:rPr>
        <w:t xml:space="preserve"> </w:t>
      </w:r>
      <w:r w:rsidR="0090193D" w:rsidRPr="00411B94">
        <w:rPr>
          <w:sz w:val="22"/>
          <w:szCs w:val="22"/>
          <w:u w:color="FF0000"/>
        </w:rPr>
        <w:t>may r</w:t>
      </w:r>
      <w:r w:rsidR="00700A7A" w:rsidRPr="00411B94">
        <w:rPr>
          <w:sz w:val="22"/>
          <w:szCs w:val="22"/>
          <w:u w:color="FF0000"/>
        </w:rPr>
        <w:t xml:space="preserve">equire </w:t>
      </w:r>
      <w:r w:rsidR="001262F1" w:rsidRPr="00411B94">
        <w:rPr>
          <w:sz w:val="22"/>
          <w:szCs w:val="22"/>
          <w:u w:color="FF0000"/>
        </w:rPr>
        <w:t xml:space="preserve">that </w:t>
      </w:r>
      <w:r w:rsidR="00700A7A" w:rsidRPr="00411B94">
        <w:rPr>
          <w:sz w:val="22"/>
          <w:szCs w:val="22"/>
          <w:u w:color="FF0000"/>
        </w:rPr>
        <w:t xml:space="preserve">the </w:t>
      </w:r>
      <w:r w:rsidR="001262F1" w:rsidRPr="00411B94">
        <w:rPr>
          <w:sz w:val="22"/>
          <w:szCs w:val="22"/>
          <w:u w:color="FF0000"/>
        </w:rPr>
        <w:t>A</w:t>
      </w:r>
      <w:r w:rsidR="00700A7A" w:rsidRPr="00411B94">
        <w:rPr>
          <w:sz w:val="22"/>
          <w:szCs w:val="22"/>
          <w:u w:color="FF0000"/>
        </w:rPr>
        <w:t>pplication meet the</w:t>
      </w:r>
      <w:r w:rsidR="00E607E9" w:rsidRPr="00411B94">
        <w:rPr>
          <w:sz w:val="22"/>
          <w:szCs w:val="22"/>
          <w:u w:color="FF0000"/>
        </w:rPr>
        <w:t xml:space="preserve"> </w:t>
      </w:r>
      <w:r w:rsidR="00404A8A" w:rsidRPr="00411B94">
        <w:rPr>
          <w:sz w:val="22"/>
          <w:szCs w:val="22"/>
          <w:u w:color="FF0000"/>
        </w:rPr>
        <w:t xml:space="preserve">threshold criteria and </w:t>
      </w:r>
      <w:r w:rsidR="00E607E9" w:rsidRPr="00411B94">
        <w:rPr>
          <w:sz w:val="22"/>
          <w:szCs w:val="22"/>
          <w:u w:color="FF0000"/>
        </w:rPr>
        <w:t>minimum threshold points under the Selection Criteria</w:t>
      </w:r>
      <w:r w:rsidRPr="00411B94">
        <w:rPr>
          <w:sz w:val="22"/>
          <w:szCs w:val="22"/>
        </w:rPr>
        <w:t xml:space="preserve">.  </w:t>
      </w:r>
      <w:r w:rsidR="00C05C97" w:rsidRPr="00411B94">
        <w:rPr>
          <w:sz w:val="22"/>
          <w:szCs w:val="22"/>
        </w:rPr>
        <w:t xml:space="preserve">Developments </w:t>
      </w:r>
      <w:r w:rsidRPr="00411B94">
        <w:rPr>
          <w:sz w:val="22"/>
          <w:szCs w:val="22"/>
        </w:rPr>
        <w:t>receiving tax exempt financing on less than 50 percent of the aggregate basis will be eligible for Tax Credits on only that portion of the eligible basis financed by the tax exempt bonds.  For the remaining portion, the owner must apply and compete for an allocation of Tax Credits from the Agency in the established allocation process</w:t>
      </w:r>
      <w:r w:rsidR="001F77E5" w:rsidRPr="00411B94">
        <w:rPr>
          <w:sz w:val="22"/>
          <w:szCs w:val="22"/>
        </w:rPr>
        <w:t xml:space="preserve">, but the Agency may establish a lower threshold for qualified applicants. </w:t>
      </w:r>
    </w:p>
    <w:p w:rsidR="00C57E75" w:rsidRPr="00411B94" w:rsidRDefault="00C57E75"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 xml:space="preserve">Only that amount of Tax Credits that is necessary to ensure feasibility and long term viability will be issued on the </w:t>
      </w:r>
      <w:smartTag w:uri="urn:schemas-microsoft-com:office:smarttags" w:element="stockticker">
        <w:r w:rsidRPr="00411B94">
          <w:rPr>
            <w:sz w:val="22"/>
            <w:szCs w:val="22"/>
          </w:rPr>
          <w:t>IRS</w:t>
        </w:r>
      </w:smartTag>
      <w:r w:rsidRPr="00411B94">
        <w:rPr>
          <w:sz w:val="22"/>
          <w:szCs w:val="22"/>
        </w:rPr>
        <w:t xml:space="preserve"> Form 8609.  See the </w:t>
      </w:r>
      <w:r w:rsidR="00AF1F86">
        <w:rPr>
          <w:sz w:val="22"/>
          <w:szCs w:val="22"/>
        </w:rPr>
        <w:t>2016</w:t>
      </w:r>
      <w:r w:rsidR="00D9469D" w:rsidRPr="00411B94">
        <w:rPr>
          <w:sz w:val="22"/>
          <w:szCs w:val="22"/>
        </w:rPr>
        <w:t xml:space="preserve"> </w:t>
      </w:r>
      <w:r w:rsidRPr="00411B94">
        <w:rPr>
          <w:sz w:val="22"/>
          <w:szCs w:val="22"/>
        </w:rPr>
        <w:t>Guidelines for the appropriate documentation to be submitted and the applicable timeframes.</w:t>
      </w:r>
    </w:p>
    <w:p w:rsidR="00F17707" w:rsidRPr="00411B94" w:rsidRDefault="00F17707" w:rsidP="00E94493">
      <w:pPr>
        <w:spacing w:line="240" w:lineRule="auto"/>
        <w:rPr>
          <w:sz w:val="22"/>
          <w:szCs w:val="22"/>
        </w:rPr>
      </w:pPr>
    </w:p>
    <w:p w:rsidR="00491A05" w:rsidRDefault="00F17707">
      <w:pPr>
        <w:spacing w:line="240" w:lineRule="auto"/>
        <w:ind w:left="360" w:firstLine="360"/>
        <w:rPr>
          <w:sz w:val="22"/>
          <w:szCs w:val="22"/>
        </w:rPr>
      </w:pPr>
      <w:r w:rsidRPr="00411B94">
        <w:rPr>
          <w:sz w:val="22"/>
          <w:szCs w:val="22"/>
        </w:rPr>
        <w:t xml:space="preserve">Because of the competitive nature of Tax Credits, the Agency may </w:t>
      </w:r>
      <w:r w:rsidR="00EE429A" w:rsidRPr="00411B94">
        <w:rPr>
          <w:sz w:val="22"/>
          <w:szCs w:val="22"/>
        </w:rPr>
        <w:t>require</w:t>
      </w:r>
      <w:r w:rsidRPr="00411B94">
        <w:rPr>
          <w:sz w:val="22"/>
          <w:szCs w:val="22"/>
        </w:rPr>
        <w:t xml:space="preserve"> certain </w:t>
      </w:r>
      <w:r w:rsidR="00D7190D" w:rsidRPr="00411B94">
        <w:rPr>
          <w:sz w:val="22"/>
          <w:szCs w:val="22"/>
        </w:rPr>
        <w:t>a</w:t>
      </w:r>
      <w:r w:rsidRPr="00411B94">
        <w:rPr>
          <w:sz w:val="22"/>
          <w:szCs w:val="22"/>
        </w:rPr>
        <w:t xml:space="preserve">pplicants to pursue Tax Exempt financing as an alternative to seeking </w:t>
      </w:r>
      <w:r w:rsidR="00FA5D03" w:rsidRPr="00411B94">
        <w:rPr>
          <w:sz w:val="22"/>
          <w:szCs w:val="22"/>
        </w:rPr>
        <w:t xml:space="preserve">9% </w:t>
      </w:r>
      <w:r w:rsidRPr="00411B94">
        <w:rPr>
          <w:sz w:val="22"/>
          <w:szCs w:val="22"/>
        </w:rPr>
        <w:t>Tax Credits</w:t>
      </w:r>
      <w:r w:rsidR="0097313F" w:rsidRPr="00411B94">
        <w:rPr>
          <w:sz w:val="22"/>
          <w:szCs w:val="22"/>
        </w:rPr>
        <w:t xml:space="preserve">. </w:t>
      </w:r>
      <w:r w:rsidR="000E03DB" w:rsidRPr="00411B94">
        <w:rPr>
          <w:sz w:val="22"/>
          <w:szCs w:val="22"/>
        </w:rPr>
        <w:t xml:space="preserve"> </w:t>
      </w:r>
      <w:r w:rsidR="009623C5" w:rsidRPr="00411B94">
        <w:rPr>
          <w:sz w:val="22"/>
          <w:szCs w:val="22"/>
        </w:rPr>
        <w:t xml:space="preserve">Specifically, developments which have access to federal resources </w:t>
      </w:r>
      <w:r w:rsidR="00286FC5" w:rsidRPr="00411B94">
        <w:rPr>
          <w:sz w:val="22"/>
          <w:szCs w:val="22"/>
        </w:rPr>
        <w:t xml:space="preserve">may </w:t>
      </w:r>
      <w:r w:rsidR="009623C5" w:rsidRPr="00411B94">
        <w:rPr>
          <w:sz w:val="22"/>
          <w:szCs w:val="22"/>
        </w:rPr>
        <w:t xml:space="preserve">be required to provide information regarding the financial feasibility with </w:t>
      </w:r>
      <w:r w:rsidR="0071479C" w:rsidRPr="00411B94">
        <w:rPr>
          <w:sz w:val="22"/>
          <w:szCs w:val="22"/>
        </w:rPr>
        <w:t>T</w:t>
      </w:r>
      <w:r w:rsidR="009623C5" w:rsidRPr="00411B94">
        <w:rPr>
          <w:sz w:val="22"/>
          <w:szCs w:val="22"/>
        </w:rPr>
        <w:t xml:space="preserve">ax </w:t>
      </w:r>
      <w:r w:rsidR="0071479C" w:rsidRPr="00411B94">
        <w:rPr>
          <w:sz w:val="22"/>
          <w:szCs w:val="22"/>
        </w:rPr>
        <w:t>E</w:t>
      </w:r>
      <w:r w:rsidR="009623C5" w:rsidRPr="00411B94">
        <w:rPr>
          <w:sz w:val="22"/>
          <w:szCs w:val="22"/>
        </w:rPr>
        <w:t>xempt financing.</w:t>
      </w:r>
      <w:r w:rsidR="0097313F" w:rsidRPr="00411B94">
        <w:rPr>
          <w:sz w:val="22"/>
          <w:szCs w:val="22"/>
        </w:rPr>
        <w:t xml:space="preserve">  </w:t>
      </w:r>
      <w:r w:rsidR="00100129" w:rsidRPr="00411B94">
        <w:rPr>
          <w:sz w:val="22"/>
          <w:szCs w:val="22"/>
          <w:u w:color="FF0000"/>
        </w:rPr>
        <w:t>Additionally, for developments seeking Tax Exempt financing</w:t>
      </w:r>
      <w:r w:rsidR="00100129" w:rsidRPr="00411B94">
        <w:rPr>
          <w:sz w:val="22"/>
          <w:szCs w:val="22"/>
        </w:rPr>
        <w:t xml:space="preserve">, </w:t>
      </w:r>
      <w:r w:rsidRPr="00411B94">
        <w:rPr>
          <w:sz w:val="22"/>
          <w:szCs w:val="22"/>
        </w:rPr>
        <w:t xml:space="preserve">the Agency may waive such </w:t>
      </w:r>
      <w:r w:rsidRPr="00411B94">
        <w:rPr>
          <w:sz w:val="22"/>
          <w:szCs w:val="22"/>
        </w:rPr>
        <w:lastRenderedPageBreak/>
        <w:t xml:space="preserve">timelines, processing and program requirements, in its discretion, to </w:t>
      </w:r>
      <w:r w:rsidR="00824993" w:rsidRPr="00411B94">
        <w:rPr>
          <w:sz w:val="22"/>
          <w:szCs w:val="22"/>
        </w:rPr>
        <w:t xml:space="preserve">encourage and </w:t>
      </w:r>
      <w:r w:rsidRPr="00411B94">
        <w:rPr>
          <w:sz w:val="22"/>
          <w:szCs w:val="22"/>
        </w:rPr>
        <w:t xml:space="preserve">facilitate such financings.  </w:t>
      </w:r>
      <w:r w:rsidR="0028626B" w:rsidRPr="00411B94">
        <w:rPr>
          <w:sz w:val="22"/>
          <w:szCs w:val="22"/>
        </w:rPr>
        <w:t xml:space="preserve">The Agency may also </w:t>
      </w:r>
      <w:r w:rsidR="00E11C0A" w:rsidRPr="00411B94">
        <w:rPr>
          <w:sz w:val="22"/>
          <w:szCs w:val="22"/>
        </w:rPr>
        <w:t>a</w:t>
      </w:r>
      <w:r w:rsidR="0028626B" w:rsidRPr="00411B94">
        <w:rPr>
          <w:sz w:val="22"/>
          <w:szCs w:val="22"/>
        </w:rPr>
        <w:t xml:space="preserve">llow costs per unit </w:t>
      </w:r>
      <w:r w:rsidR="00E11C0A" w:rsidRPr="00411B94">
        <w:rPr>
          <w:sz w:val="22"/>
          <w:szCs w:val="22"/>
        </w:rPr>
        <w:t xml:space="preserve">above </w:t>
      </w:r>
      <w:r w:rsidR="00200B65" w:rsidRPr="00411B94">
        <w:rPr>
          <w:sz w:val="22"/>
          <w:szCs w:val="22"/>
        </w:rPr>
        <w:t>Maximum Basis</w:t>
      </w:r>
      <w:r w:rsidR="00E11C0A" w:rsidRPr="00411B94">
        <w:rPr>
          <w:sz w:val="22"/>
          <w:szCs w:val="22"/>
        </w:rPr>
        <w:t xml:space="preserve"> limits </w:t>
      </w:r>
      <w:r w:rsidR="0028626B" w:rsidRPr="00411B94">
        <w:rPr>
          <w:sz w:val="22"/>
          <w:szCs w:val="22"/>
        </w:rPr>
        <w:t xml:space="preserve">and </w:t>
      </w:r>
      <w:r w:rsidR="00E11C0A" w:rsidRPr="00411B94">
        <w:rPr>
          <w:sz w:val="22"/>
          <w:szCs w:val="22"/>
        </w:rPr>
        <w:t xml:space="preserve">may allow </w:t>
      </w:r>
      <w:r w:rsidR="0028626B" w:rsidRPr="00411B94">
        <w:rPr>
          <w:sz w:val="22"/>
          <w:szCs w:val="22"/>
        </w:rPr>
        <w:t>higher developer</w:t>
      </w:r>
      <w:r w:rsidR="00045F5E" w:rsidRPr="00411B94">
        <w:rPr>
          <w:sz w:val="22"/>
          <w:szCs w:val="22"/>
        </w:rPr>
        <w:t>'s</w:t>
      </w:r>
      <w:r w:rsidR="0028626B" w:rsidRPr="00411B94">
        <w:rPr>
          <w:sz w:val="22"/>
          <w:szCs w:val="22"/>
        </w:rPr>
        <w:t xml:space="preserve"> fees for developmen</w:t>
      </w:r>
      <w:r w:rsidR="00984420">
        <w:rPr>
          <w:sz w:val="22"/>
          <w:szCs w:val="22"/>
        </w:rPr>
        <w:t>ts using this funding source.</w:t>
      </w:r>
    </w:p>
    <w:p w:rsidR="00B1782C" w:rsidRDefault="00B1782C" w:rsidP="00B1782C">
      <w:pPr>
        <w:widowControl/>
        <w:adjustRightInd/>
        <w:spacing w:line="240" w:lineRule="auto"/>
        <w:jc w:val="center"/>
        <w:textAlignment w:val="auto"/>
        <w:rPr>
          <w:b/>
          <w:sz w:val="22"/>
          <w:szCs w:val="22"/>
          <w:u w:val="single"/>
        </w:rPr>
      </w:pPr>
    </w:p>
    <w:p w:rsidR="005F072D" w:rsidRPr="002E1E07" w:rsidRDefault="005F072D" w:rsidP="00B1782C">
      <w:pPr>
        <w:widowControl/>
        <w:adjustRightInd/>
        <w:spacing w:line="240" w:lineRule="auto"/>
        <w:jc w:val="center"/>
        <w:textAlignment w:val="auto"/>
        <w:rPr>
          <w:b/>
          <w:u w:val="single"/>
        </w:rPr>
      </w:pPr>
      <w:r w:rsidRPr="00411B94">
        <w:rPr>
          <w:b/>
          <w:sz w:val="22"/>
          <w:szCs w:val="22"/>
          <w:u w:val="single"/>
        </w:rPr>
        <w:t>SUBSIDY LAYERING REVIEWS</w:t>
      </w:r>
    </w:p>
    <w:p w:rsidR="005F072D" w:rsidRPr="002E1E07" w:rsidRDefault="005F072D" w:rsidP="00E94493">
      <w:pPr>
        <w:spacing w:line="240" w:lineRule="auto"/>
      </w:pPr>
    </w:p>
    <w:p w:rsidR="00076CCC" w:rsidRPr="00411B94" w:rsidRDefault="005F072D" w:rsidP="001E4B16">
      <w:pPr>
        <w:spacing w:line="240" w:lineRule="auto"/>
        <w:ind w:left="360" w:firstLine="360"/>
        <w:rPr>
          <w:sz w:val="22"/>
          <w:szCs w:val="22"/>
        </w:rPr>
      </w:pPr>
      <w:r w:rsidRPr="00411B94">
        <w:rPr>
          <w:sz w:val="22"/>
          <w:szCs w:val="22"/>
        </w:rPr>
        <w:t xml:space="preserve">Pursuant to Section 911 of the Housing Community Development Act of 1992, HUD published administrative guidelines concerning subsidy layering review of Tax Credit developments receiving assistance from the HUD's Office of Housing.  The guidelines provide for the delegation of subsidy layering reviews </w:t>
      </w:r>
      <w:r w:rsidR="007E06AE" w:rsidRPr="00411B94">
        <w:rPr>
          <w:sz w:val="22"/>
          <w:szCs w:val="22"/>
        </w:rPr>
        <w:t xml:space="preserve">for certain programs </w:t>
      </w:r>
      <w:r w:rsidRPr="00411B94">
        <w:rPr>
          <w:sz w:val="22"/>
          <w:szCs w:val="22"/>
        </w:rPr>
        <w:t xml:space="preserve">to Tax Credit allocating agencies.  Pennsylvania requested and has been delegated </w:t>
      </w:r>
      <w:r w:rsidR="00C3137C" w:rsidRPr="00411B94">
        <w:rPr>
          <w:sz w:val="22"/>
          <w:szCs w:val="22"/>
        </w:rPr>
        <w:t xml:space="preserve">this </w:t>
      </w:r>
      <w:r w:rsidRPr="00411B94">
        <w:rPr>
          <w:sz w:val="22"/>
          <w:szCs w:val="22"/>
        </w:rPr>
        <w:t>subsidy layering review responsibility.  Section 911 guidelines provide the Tax Credit allocating agencies with standards for evaluating builder's profit, develop</w:t>
      </w:r>
      <w:r w:rsidR="001E53D7" w:rsidRPr="00411B94">
        <w:rPr>
          <w:sz w:val="22"/>
          <w:szCs w:val="22"/>
        </w:rPr>
        <w:t>er's</w:t>
      </w:r>
      <w:r w:rsidRPr="00411B94">
        <w:rPr>
          <w:sz w:val="22"/>
          <w:szCs w:val="22"/>
        </w:rPr>
        <w:t xml:space="preserve"> fee, syndicator expenses, and net syndicator proceeds.  The guidelines include both a safe harbor standard and ceiling standard for each category.  The Tax Credit allocating agency may simply use the safe harbor standards or through the Allocation Plan may raise the safe harbor standards to the published maximum ceiling standards.  The Agency has elected to raise the safe harbor guidelines to the maximum ceiling standards established for the Section 911 layering review since the ceiling standards are within the fee and cost limitations already established for the Tax Credit Program</w:t>
      </w:r>
      <w:r w:rsidR="006D1D35" w:rsidRPr="00411B94">
        <w:rPr>
          <w:sz w:val="22"/>
          <w:szCs w:val="22"/>
        </w:rPr>
        <w:t>.</w:t>
      </w:r>
    </w:p>
    <w:p w:rsidR="00FE0E2D" w:rsidRPr="00411B94" w:rsidRDefault="00FE0E2D" w:rsidP="001E4B16">
      <w:pPr>
        <w:spacing w:line="240" w:lineRule="auto"/>
        <w:ind w:left="360" w:firstLine="360"/>
        <w:rPr>
          <w:sz w:val="22"/>
          <w:szCs w:val="22"/>
        </w:rPr>
      </w:pPr>
    </w:p>
    <w:p w:rsidR="00FE0E2D" w:rsidRPr="00411B94" w:rsidRDefault="00FE0E2D" w:rsidP="001E4B16">
      <w:pPr>
        <w:spacing w:line="240" w:lineRule="auto"/>
        <w:ind w:left="360" w:firstLine="360"/>
        <w:rPr>
          <w:sz w:val="22"/>
          <w:szCs w:val="22"/>
        </w:rPr>
      </w:pPr>
      <w:r w:rsidRPr="00411B94">
        <w:rPr>
          <w:sz w:val="22"/>
          <w:szCs w:val="22"/>
        </w:rPr>
        <w:t xml:space="preserve">The Agency has also been approved to conduct subsidy layering reviews for </w:t>
      </w:r>
      <w:r w:rsidR="002D1116" w:rsidRPr="00411B94">
        <w:rPr>
          <w:sz w:val="22"/>
          <w:szCs w:val="22"/>
        </w:rPr>
        <w:t>Application</w:t>
      </w:r>
      <w:r w:rsidRPr="00411B94">
        <w:rPr>
          <w:sz w:val="22"/>
          <w:szCs w:val="22"/>
        </w:rPr>
        <w:t>s with proposed Section 8 Project-Based Voucher Housing Assistance Payments Contracts, and will conduct these reviews in accordance with the Administrative Guidelines published in the July 9, 2010, Federal Register</w:t>
      </w:r>
      <w:r w:rsidR="0071479C" w:rsidRPr="00411B94">
        <w:rPr>
          <w:sz w:val="22"/>
          <w:szCs w:val="22"/>
        </w:rPr>
        <w:t xml:space="preserve"> (or as subs</w:t>
      </w:r>
      <w:r w:rsidR="00AE3C2C" w:rsidRPr="00411B94">
        <w:rPr>
          <w:sz w:val="22"/>
          <w:szCs w:val="22"/>
        </w:rPr>
        <w:t>equentl</w:t>
      </w:r>
      <w:r w:rsidR="0071479C" w:rsidRPr="00411B94">
        <w:rPr>
          <w:sz w:val="22"/>
          <w:szCs w:val="22"/>
        </w:rPr>
        <w:t>y amended or supplemented)</w:t>
      </w:r>
      <w:r w:rsidRPr="00411B94">
        <w:rPr>
          <w:sz w:val="22"/>
          <w:szCs w:val="22"/>
        </w:rPr>
        <w:t>.</w:t>
      </w:r>
    </w:p>
    <w:p w:rsidR="000D4B2A" w:rsidRPr="00411B94" w:rsidRDefault="000D4B2A" w:rsidP="001E4B16">
      <w:pPr>
        <w:spacing w:line="240" w:lineRule="auto"/>
        <w:ind w:left="360" w:firstLine="360"/>
        <w:rPr>
          <w:sz w:val="22"/>
          <w:szCs w:val="22"/>
        </w:rPr>
      </w:pPr>
    </w:p>
    <w:p w:rsidR="00843095" w:rsidRPr="002E1E07" w:rsidRDefault="000E03DB" w:rsidP="00706174">
      <w:pPr>
        <w:spacing w:line="240" w:lineRule="auto"/>
        <w:ind w:left="360" w:firstLine="360"/>
      </w:pPr>
      <w:r w:rsidRPr="00411B94">
        <w:rPr>
          <w:sz w:val="22"/>
          <w:szCs w:val="22"/>
        </w:rPr>
        <w:t xml:space="preserve">Beginning in </w:t>
      </w:r>
      <w:r w:rsidR="000D4B2A" w:rsidRPr="00411B94">
        <w:rPr>
          <w:sz w:val="22"/>
          <w:szCs w:val="22"/>
        </w:rPr>
        <w:t>201</w:t>
      </w:r>
      <w:r w:rsidR="00B779A6" w:rsidRPr="00411B94">
        <w:rPr>
          <w:sz w:val="22"/>
          <w:szCs w:val="22"/>
        </w:rPr>
        <w:t>2</w:t>
      </w:r>
      <w:r w:rsidR="008438DC" w:rsidRPr="00411B94">
        <w:rPr>
          <w:sz w:val="22"/>
          <w:szCs w:val="22"/>
        </w:rPr>
        <w:t>, the</w:t>
      </w:r>
      <w:r w:rsidR="000D4B2A" w:rsidRPr="00411B94">
        <w:rPr>
          <w:sz w:val="22"/>
          <w:szCs w:val="22"/>
        </w:rPr>
        <w:t xml:space="preserve"> Agency entered into </w:t>
      </w:r>
      <w:r w:rsidR="00B779A6" w:rsidRPr="00411B94">
        <w:rPr>
          <w:sz w:val="22"/>
          <w:szCs w:val="22"/>
        </w:rPr>
        <w:t>a tri-part</w:t>
      </w:r>
      <w:r w:rsidR="00FE0E2D" w:rsidRPr="00411B94">
        <w:rPr>
          <w:sz w:val="22"/>
          <w:szCs w:val="22"/>
        </w:rPr>
        <w:t>y</w:t>
      </w:r>
      <w:r w:rsidR="00B779A6" w:rsidRPr="00411B94">
        <w:rPr>
          <w:sz w:val="22"/>
          <w:szCs w:val="22"/>
        </w:rPr>
        <w:t xml:space="preserve"> Memorandum of Understanding with HUD and the USDA – Rural Development wherein the Agency conduct</w:t>
      </w:r>
      <w:r w:rsidRPr="00411B94">
        <w:rPr>
          <w:sz w:val="22"/>
          <w:szCs w:val="22"/>
        </w:rPr>
        <w:t>s</w:t>
      </w:r>
      <w:r w:rsidR="00B779A6" w:rsidRPr="00411B94">
        <w:rPr>
          <w:sz w:val="22"/>
          <w:szCs w:val="22"/>
        </w:rPr>
        <w:t xml:space="preserve"> subsidy layering reviews for </w:t>
      </w:r>
      <w:r w:rsidR="002D1116" w:rsidRPr="00411B94">
        <w:rPr>
          <w:sz w:val="22"/>
          <w:szCs w:val="22"/>
        </w:rPr>
        <w:t>Application</w:t>
      </w:r>
      <w:r w:rsidR="00B779A6" w:rsidRPr="00411B94">
        <w:rPr>
          <w:sz w:val="22"/>
          <w:szCs w:val="22"/>
        </w:rPr>
        <w:t>s with Section 515 program assistance or other federal assistance subject to federal subsidy layering review requirements.</w:t>
      </w:r>
    </w:p>
    <w:p w:rsidR="00CE0F08" w:rsidRPr="002E1E07" w:rsidRDefault="00CE0F08" w:rsidP="00CE0F08">
      <w:pPr>
        <w:widowControl/>
        <w:adjustRightInd/>
        <w:spacing w:line="240" w:lineRule="auto"/>
        <w:jc w:val="left"/>
        <w:textAlignment w:val="auto"/>
        <w:rPr>
          <w:b/>
          <w:u w:val="single"/>
        </w:rPr>
      </w:pPr>
    </w:p>
    <w:p w:rsidR="005F072D" w:rsidRPr="00411B94" w:rsidRDefault="005F072D" w:rsidP="00E94493">
      <w:pPr>
        <w:spacing w:line="240" w:lineRule="auto"/>
        <w:jc w:val="center"/>
        <w:rPr>
          <w:b/>
          <w:sz w:val="22"/>
          <w:szCs w:val="22"/>
          <w:u w:val="single"/>
        </w:rPr>
      </w:pPr>
      <w:r w:rsidRPr="00411B94">
        <w:rPr>
          <w:b/>
          <w:sz w:val="22"/>
          <w:szCs w:val="22"/>
          <w:u w:val="single"/>
        </w:rPr>
        <w:t>PLACED-IN-SERVICE/CARRYOVER ALLOCATION</w:t>
      </w:r>
    </w:p>
    <w:p w:rsidR="005F072D" w:rsidRPr="00411B94" w:rsidRDefault="005F072D" w:rsidP="00E94493">
      <w:pPr>
        <w:spacing w:line="240" w:lineRule="auto"/>
        <w:rPr>
          <w:sz w:val="22"/>
          <w:szCs w:val="22"/>
        </w:rPr>
      </w:pPr>
    </w:p>
    <w:p w:rsidR="0037726D" w:rsidRPr="00411B94" w:rsidRDefault="006506A6" w:rsidP="001E4B16">
      <w:pPr>
        <w:spacing w:line="240" w:lineRule="auto"/>
        <w:ind w:left="360" w:firstLine="360"/>
        <w:rPr>
          <w:sz w:val="22"/>
          <w:szCs w:val="22"/>
        </w:rPr>
      </w:pPr>
      <w:r w:rsidRPr="00411B94">
        <w:rPr>
          <w:sz w:val="22"/>
          <w:szCs w:val="22"/>
        </w:rPr>
        <w:t xml:space="preserve">All developments receiving a conditional reservation of Year </w:t>
      </w:r>
      <w:r w:rsidR="00AF1F86">
        <w:rPr>
          <w:sz w:val="22"/>
          <w:szCs w:val="22"/>
        </w:rPr>
        <w:t>2016</w:t>
      </w:r>
      <w:r w:rsidRPr="00411B94">
        <w:rPr>
          <w:sz w:val="22"/>
          <w:szCs w:val="22"/>
        </w:rPr>
        <w:t xml:space="preserve"> Tax Credits must either be placed in service by December 31, </w:t>
      </w:r>
      <w:r w:rsidR="00AF1F86">
        <w:rPr>
          <w:sz w:val="22"/>
          <w:szCs w:val="22"/>
        </w:rPr>
        <w:t>2016</w:t>
      </w:r>
      <w:r w:rsidRPr="00411B94">
        <w:rPr>
          <w:sz w:val="22"/>
          <w:szCs w:val="22"/>
        </w:rPr>
        <w:t xml:space="preserve"> or, by </w:t>
      </w:r>
      <w:r w:rsidR="00C35E0B" w:rsidRPr="002C45ED">
        <w:rPr>
          <w:sz w:val="22"/>
          <w:szCs w:val="22"/>
        </w:rPr>
        <w:t>November 11, 201</w:t>
      </w:r>
      <w:r w:rsidR="002C45ED">
        <w:rPr>
          <w:sz w:val="22"/>
          <w:szCs w:val="22"/>
        </w:rPr>
        <w:t>6</w:t>
      </w:r>
      <w:r w:rsidRPr="00411B94">
        <w:rPr>
          <w:sz w:val="22"/>
          <w:szCs w:val="22"/>
        </w:rPr>
        <w:t>, be eligible for a carryover allocation of Tax Credits pursuant to Section 42 (h)(1)(E) of the Code.  All processing deadlines for Carryover Allocations must be met.</w:t>
      </w:r>
      <w:r w:rsidR="00C426D4" w:rsidRPr="00411B94">
        <w:rPr>
          <w:sz w:val="22"/>
          <w:szCs w:val="22"/>
        </w:rPr>
        <w:t xml:space="preserve">  The Agency reserves the right to update or amend the Carryover Allocation deadlines and processing timeframes and will publish any and all modifications on its website.</w:t>
      </w:r>
    </w:p>
    <w:p w:rsidR="00681BCA" w:rsidRPr="00411B94" w:rsidRDefault="00681BCA" w:rsidP="001E4B16">
      <w:pPr>
        <w:spacing w:line="240" w:lineRule="auto"/>
        <w:ind w:left="360" w:firstLine="360"/>
        <w:rPr>
          <w:sz w:val="22"/>
          <w:szCs w:val="22"/>
        </w:rPr>
      </w:pPr>
    </w:p>
    <w:p w:rsidR="005F072D" w:rsidRDefault="005F072D" w:rsidP="001E4B16">
      <w:pPr>
        <w:spacing w:line="240" w:lineRule="auto"/>
        <w:ind w:left="360" w:firstLine="360"/>
        <w:rPr>
          <w:sz w:val="22"/>
          <w:szCs w:val="22"/>
        </w:rPr>
      </w:pPr>
      <w:r w:rsidRPr="00411B94">
        <w:rPr>
          <w:sz w:val="22"/>
          <w:szCs w:val="22"/>
        </w:rPr>
        <w:t xml:space="preserve">To qualify for a Carryover Allocation, an owner must, by </w:t>
      </w:r>
      <w:r w:rsidR="003B65B6" w:rsidRPr="00411B94">
        <w:rPr>
          <w:sz w:val="22"/>
          <w:szCs w:val="22"/>
        </w:rPr>
        <w:t>the required date</w:t>
      </w:r>
      <w:r w:rsidRPr="00411B94">
        <w:rPr>
          <w:sz w:val="22"/>
          <w:szCs w:val="22"/>
        </w:rPr>
        <w:t xml:space="preserve">, have evidence of ownership of the land or the depreciable real property that is part of the proposed development. </w:t>
      </w:r>
      <w:r w:rsidR="00B41B44" w:rsidRPr="00411B94">
        <w:rPr>
          <w:sz w:val="22"/>
          <w:szCs w:val="22"/>
        </w:rPr>
        <w:t xml:space="preserve"> </w:t>
      </w:r>
      <w:r w:rsidRPr="00411B94">
        <w:rPr>
          <w:sz w:val="22"/>
          <w:szCs w:val="22"/>
        </w:rPr>
        <w:t xml:space="preserve">The Agency may, in its sole discretion, accept </w:t>
      </w:r>
      <w:r w:rsidR="00DA629C" w:rsidRPr="00411B94">
        <w:rPr>
          <w:sz w:val="22"/>
          <w:szCs w:val="22"/>
        </w:rPr>
        <w:t xml:space="preserve">either </w:t>
      </w:r>
      <w:r w:rsidRPr="00411B94">
        <w:rPr>
          <w:sz w:val="22"/>
          <w:szCs w:val="22"/>
        </w:rPr>
        <w:t>an Attorney's Opinion Letter or a Certified Public Accountant Letter that certifies that the owner has carryover allocation basis for the development pursuant to the Code</w:t>
      </w:r>
      <w:r w:rsidR="006D53B1" w:rsidRPr="00411B94">
        <w:rPr>
          <w:sz w:val="22"/>
          <w:szCs w:val="22"/>
        </w:rPr>
        <w:t>;</w:t>
      </w:r>
      <w:r w:rsidR="00AB6AF8" w:rsidRPr="00411B94">
        <w:rPr>
          <w:sz w:val="22"/>
          <w:szCs w:val="22"/>
        </w:rPr>
        <w:t xml:space="preserve"> or an owner’s certification which include</w:t>
      </w:r>
      <w:r w:rsidR="00CE0CC8" w:rsidRPr="00411B94">
        <w:rPr>
          <w:sz w:val="22"/>
          <w:szCs w:val="22"/>
        </w:rPr>
        <w:t>s sufficient</w:t>
      </w:r>
      <w:r w:rsidR="00AB6AF8" w:rsidRPr="00411B94">
        <w:rPr>
          <w:sz w:val="22"/>
          <w:szCs w:val="22"/>
        </w:rPr>
        <w:t xml:space="preserve"> identification of the property </w:t>
      </w:r>
      <w:r w:rsidR="00CE0CC8" w:rsidRPr="00411B94">
        <w:rPr>
          <w:sz w:val="22"/>
          <w:szCs w:val="22"/>
        </w:rPr>
        <w:t xml:space="preserve">(i.e. legal descriptions, surveys, title insurance) </w:t>
      </w:r>
      <w:r w:rsidR="00AB6AF8" w:rsidRPr="00411B94">
        <w:rPr>
          <w:sz w:val="22"/>
          <w:szCs w:val="22"/>
        </w:rPr>
        <w:t>to assign building identification</w:t>
      </w:r>
      <w:r w:rsidR="002867F5" w:rsidRPr="00411B94">
        <w:rPr>
          <w:sz w:val="22"/>
          <w:szCs w:val="22"/>
        </w:rPr>
        <w:t xml:space="preserve"> numbers.  In making this certification, the owner accepts full responsibility </w:t>
      </w:r>
      <w:r w:rsidR="001262F1" w:rsidRPr="00411B94">
        <w:rPr>
          <w:sz w:val="22"/>
          <w:szCs w:val="22"/>
        </w:rPr>
        <w:t>for</w:t>
      </w:r>
      <w:r w:rsidR="00CE0CC8" w:rsidRPr="00411B94">
        <w:rPr>
          <w:sz w:val="22"/>
          <w:szCs w:val="22"/>
        </w:rPr>
        <w:t xml:space="preserve"> all discrepancies, errors or </w:t>
      </w:r>
      <w:r w:rsidR="00AB6AF8" w:rsidRPr="00411B94">
        <w:rPr>
          <w:sz w:val="22"/>
          <w:szCs w:val="22"/>
        </w:rPr>
        <w:t>omission</w:t>
      </w:r>
      <w:r w:rsidR="00CE0CC8" w:rsidRPr="00411B94">
        <w:rPr>
          <w:sz w:val="22"/>
          <w:szCs w:val="22"/>
        </w:rPr>
        <w:t>s</w:t>
      </w:r>
      <w:r w:rsidR="002867F5" w:rsidRPr="00411B94">
        <w:rPr>
          <w:sz w:val="22"/>
          <w:szCs w:val="22"/>
        </w:rPr>
        <w:t xml:space="preserve"> </w:t>
      </w:r>
      <w:r w:rsidR="00AB6AF8" w:rsidRPr="00411B94">
        <w:rPr>
          <w:sz w:val="22"/>
          <w:szCs w:val="22"/>
        </w:rPr>
        <w:t>of properties and acknowledge</w:t>
      </w:r>
      <w:r w:rsidR="002867F5" w:rsidRPr="00411B94">
        <w:rPr>
          <w:sz w:val="22"/>
          <w:szCs w:val="22"/>
        </w:rPr>
        <w:t>s</w:t>
      </w:r>
      <w:r w:rsidR="00AB6AF8" w:rsidRPr="00411B94">
        <w:rPr>
          <w:sz w:val="22"/>
          <w:szCs w:val="22"/>
        </w:rPr>
        <w:t xml:space="preserve"> that </w:t>
      </w:r>
      <w:r w:rsidR="00CE0CC8" w:rsidRPr="00411B94">
        <w:rPr>
          <w:sz w:val="22"/>
          <w:szCs w:val="22"/>
        </w:rPr>
        <w:t>subsequent adjustments</w:t>
      </w:r>
      <w:r w:rsidR="00AB6AF8" w:rsidRPr="00411B94">
        <w:rPr>
          <w:sz w:val="22"/>
          <w:szCs w:val="22"/>
        </w:rPr>
        <w:t xml:space="preserve"> </w:t>
      </w:r>
      <w:r w:rsidR="00DB374C" w:rsidRPr="00411B94">
        <w:rPr>
          <w:sz w:val="22"/>
          <w:szCs w:val="22"/>
        </w:rPr>
        <w:t>may</w:t>
      </w:r>
      <w:r w:rsidR="00AB6AF8" w:rsidRPr="00411B94">
        <w:rPr>
          <w:sz w:val="22"/>
          <w:szCs w:val="22"/>
        </w:rPr>
        <w:t xml:space="preserve"> require Internal Revenue Service approval</w:t>
      </w:r>
      <w:r w:rsidRPr="00411B94">
        <w:rPr>
          <w:sz w:val="22"/>
          <w:szCs w:val="22"/>
        </w:rPr>
        <w:t xml:space="preserve">.  </w:t>
      </w:r>
      <w:r w:rsidR="000C4088" w:rsidRPr="00411B94">
        <w:rPr>
          <w:sz w:val="22"/>
          <w:szCs w:val="22"/>
        </w:rPr>
        <w:t xml:space="preserve">Additionally, no later than </w:t>
      </w:r>
      <w:r w:rsidR="00083059" w:rsidRPr="00083059">
        <w:rPr>
          <w:b/>
          <w:color w:val="000000" w:themeColor="text1"/>
          <w:sz w:val="22"/>
          <w:szCs w:val="22"/>
        </w:rPr>
        <w:t>November 11, 2017</w:t>
      </w:r>
      <w:r w:rsidR="00083059" w:rsidRPr="00083059">
        <w:rPr>
          <w:color w:val="000000" w:themeColor="text1"/>
          <w:sz w:val="22"/>
          <w:szCs w:val="22"/>
        </w:rPr>
        <w:t>, owner</w:t>
      </w:r>
      <w:r w:rsidRPr="00411B94">
        <w:rPr>
          <w:sz w:val="22"/>
          <w:szCs w:val="22"/>
        </w:rPr>
        <w:t xml:space="preserve"> must incur more than 10</w:t>
      </w:r>
      <w:r w:rsidR="000E03DB" w:rsidRPr="00411B94">
        <w:rPr>
          <w:sz w:val="22"/>
          <w:szCs w:val="22"/>
        </w:rPr>
        <w:t xml:space="preserve"> percent</w:t>
      </w:r>
      <w:r w:rsidRPr="00411B94">
        <w:rPr>
          <w:sz w:val="22"/>
          <w:szCs w:val="22"/>
        </w:rPr>
        <w:t xml:space="preserve"> of the “reasonably expected basis” in the property, including land.  The “reasonably expected basis” is that basis which is expected to be incurred as of the close of the second calendar year following the calendar year of the Carryover Allocation. </w:t>
      </w:r>
      <w:r w:rsidR="00DA629C" w:rsidRPr="00411B94">
        <w:rPr>
          <w:sz w:val="22"/>
          <w:szCs w:val="22"/>
        </w:rPr>
        <w:t xml:space="preserve"> </w:t>
      </w:r>
      <w:r w:rsidRPr="00411B94">
        <w:rPr>
          <w:sz w:val="22"/>
          <w:szCs w:val="22"/>
        </w:rPr>
        <w:t xml:space="preserve">See the </w:t>
      </w:r>
      <w:r w:rsidR="00AF1F86">
        <w:rPr>
          <w:sz w:val="22"/>
          <w:szCs w:val="22"/>
        </w:rPr>
        <w:t>2016</w:t>
      </w:r>
      <w:r w:rsidR="00782729" w:rsidRPr="00411B94">
        <w:rPr>
          <w:sz w:val="22"/>
          <w:szCs w:val="22"/>
        </w:rPr>
        <w:t xml:space="preserve"> </w:t>
      </w:r>
      <w:r w:rsidRPr="00411B94">
        <w:rPr>
          <w:sz w:val="22"/>
          <w:szCs w:val="22"/>
        </w:rPr>
        <w:t xml:space="preserve">Guidelines for further details and </w:t>
      </w:r>
      <w:r w:rsidR="003B65B6" w:rsidRPr="00411B94">
        <w:rPr>
          <w:sz w:val="22"/>
          <w:szCs w:val="22"/>
        </w:rPr>
        <w:t xml:space="preserve">additional </w:t>
      </w:r>
      <w:r w:rsidRPr="00411B94">
        <w:rPr>
          <w:sz w:val="22"/>
          <w:szCs w:val="22"/>
        </w:rPr>
        <w:t>processing deadlines</w:t>
      </w:r>
      <w:r w:rsidR="00292EF5">
        <w:rPr>
          <w:sz w:val="22"/>
          <w:szCs w:val="22"/>
        </w:rPr>
        <w:t xml:space="preserve"> which will be posted to the Agency’s website, </w:t>
      </w:r>
      <w:r w:rsidR="00292EF5" w:rsidRPr="00292EF5">
        <w:rPr>
          <w:i/>
          <w:sz w:val="22"/>
          <w:szCs w:val="22"/>
        </w:rPr>
        <w:t>www.phfa.org</w:t>
      </w:r>
      <w:r w:rsidRPr="00411B94">
        <w:rPr>
          <w:sz w:val="22"/>
          <w:szCs w:val="22"/>
        </w:rPr>
        <w:t>.</w:t>
      </w:r>
    </w:p>
    <w:p w:rsidR="00B1782C" w:rsidRDefault="00B1782C">
      <w:pPr>
        <w:widowControl/>
        <w:adjustRightInd/>
        <w:spacing w:line="240" w:lineRule="auto"/>
        <w:jc w:val="left"/>
        <w:textAlignment w:val="auto"/>
        <w:rPr>
          <w:sz w:val="22"/>
          <w:szCs w:val="22"/>
        </w:rPr>
      </w:pPr>
      <w:r>
        <w:rPr>
          <w:sz w:val="22"/>
          <w:szCs w:val="22"/>
        </w:rPr>
        <w:br w:type="page"/>
      </w:r>
    </w:p>
    <w:p w:rsidR="002E1E07" w:rsidRPr="00411B94" w:rsidRDefault="002E1E07" w:rsidP="001E4B16">
      <w:pPr>
        <w:spacing w:line="240" w:lineRule="auto"/>
        <w:ind w:left="360" w:firstLine="360"/>
        <w:rPr>
          <w:sz w:val="22"/>
          <w:szCs w:val="22"/>
        </w:rPr>
      </w:pPr>
    </w:p>
    <w:p w:rsidR="005F072D" w:rsidRPr="00411B94" w:rsidRDefault="005F072D" w:rsidP="00E94493">
      <w:pPr>
        <w:spacing w:line="240" w:lineRule="auto"/>
        <w:jc w:val="center"/>
        <w:rPr>
          <w:b/>
          <w:sz w:val="22"/>
          <w:szCs w:val="22"/>
          <w:u w:val="single"/>
        </w:rPr>
      </w:pPr>
      <w:r w:rsidRPr="00411B94">
        <w:rPr>
          <w:b/>
          <w:sz w:val="22"/>
          <w:szCs w:val="22"/>
          <w:u w:val="single"/>
        </w:rPr>
        <w:t>PROCESSING PROCEDURES</w:t>
      </w:r>
    </w:p>
    <w:p w:rsidR="005F072D" w:rsidRPr="00411B94" w:rsidRDefault="005F072D" w:rsidP="00E94493">
      <w:pPr>
        <w:spacing w:line="240" w:lineRule="auto"/>
        <w:rPr>
          <w:sz w:val="22"/>
          <w:szCs w:val="22"/>
        </w:rPr>
      </w:pPr>
    </w:p>
    <w:p w:rsidR="004D2F5C" w:rsidRPr="00411B94" w:rsidRDefault="005F072D" w:rsidP="001E4B16">
      <w:pPr>
        <w:spacing w:line="240" w:lineRule="auto"/>
        <w:ind w:left="360" w:firstLine="360"/>
        <w:rPr>
          <w:sz w:val="22"/>
          <w:szCs w:val="22"/>
        </w:rPr>
      </w:pPr>
      <w:r w:rsidRPr="00411B94">
        <w:rPr>
          <w:sz w:val="22"/>
          <w:szCs w:val="22"/>
        </w:rPr>
        <w:t xml:space="preserve">Developments receiving </w:t>
      </w:r>
      <w:r w:rsidR="00090CE2" w:rsidRPr="00411B94">
        <w:rPr>
          <w:sz w:val="22"/>
          <w:szCs w:val="22"/>
        </w:rPr>
        <w:t>a condit</w:t>
      </w:r>
      <w:r w:rsidR="00C706BF" w:rsidRPr="00411B94">
        <w:rPr>
          <w:sz w:val="22"/>
          <w:szCs w:val="22"/>
        </w:rPr>
        <w:t>ional</w:t>
      </w:r>
      <w:r w:rsidRPr="00411B94">
        <w:rPr>
          <w:sz w:val="22"/>
          <w:szCs w:val="22"/>
        </w:rPr>
        <w:t xml:space="preserve"> reservation of Tax Credits in </w:t>
      </w:r>
      <w:r w:rsidR="00AF1F86">
        <w:rPr>
          <w:sz w:val="22"/>
          <w:szCs w:val="22"/>
        </w:rPr>
        <w:t>2016</w:t>
      </w:r>
      <w:r w:rsidR="00782729" w:rsidRPr="00411B94">
        <w:rPr>
          <w:sz w:val="22"/>
          <w:szCs w:val="22"/>
        </w:rPr>
        <w:t xml:space="preserve"> </w:t>
      </w:r>
      <w:r w:rsidRPr="00411B94">
        <w:rPr>
          <w:sz w:val="22"/>
          <w:szCs w:val="22"/>
        </w:rPr>
        <w:t xml:space="preserve">are subject to the </w:t>
      </w:r>
      <w:r w:rsidR="00AF1F86">
        <w:rPr>
          <w:sz w:val="22"/>
          <w:szCs w:val="22"/>
        </w:rPr>
        <w:t>2016</w:t>
      </w:r>
      <w:r w:rsidR="00782729" w:rsidRPr="00411B94">
        <w:rPr>
          <w:sz w:val="22"/>
          <w:szCs w:val="22"/>
        </w:rPr>
        <w:t xml:space="preserve"> </w:t>
      </w:r>
      <w:r w:rsidRPr="00411B94">
        <w:rPr>
          <w:sz w:val="22"/>
          <w:szCs w:val="22"/>
        </w:rPr>
        <w:t>Guidelines and in the event the initial reservati</w:t>
      </w:r>
      <w:r w:rsidR="00681BCA" w:rsidRPr="00411B94">
        <w:rPr>
          <w:sz w:val="22"/>
          <w:szCs w:val="22"/>
        </w:rPr>
        <w:t>on is modified or amended, the</w:t>
      </w:r>
      <w:r w:rsidRPr="00411B94">
        <w:rPr>
          <w:sz w:val="22"/>
          <w:szCs w:val="22"/>
        </w:rPr>
        <w:t xml:space="preserve"> </w:t>
      </w:r>
      <w:r w:rsidR="00AF1F86">
        <w:rPr>
          <w:sz w:val="22"/>
          <w:szCs w:val="22"/>
        </w:rPr>
        <w:t>2016</w:t>
      </w:r>
      <w:r w:rsidR="00782729" w:rsidRPr="00411B94">
        <w:rPr>
          <w:sz w:val="22"/>
          <w:szCs w:val="22"/>
        </w:rPr>
        <w:t xml:space="preserve"> </w:t>
      </w:r>
      <w:r w:rsidRPr="00411B94">
        <w:rPr>
          <w:sz w:val="22"/>
          <w:szCs w:val="22"/>
        </w:rPr>
        <w:t>Guidelines shall remain in force and effect for the property.  However, the Agency may amend the</w:t>
      </w:r>
      <w:r w:rsidR="006E3E15" w:rsidRPr="00411B94">
        <w:rPr>
          <w:sz w:val="22"/>
          <w:szCs w:val="22"/>
        </w:rPr>
        <w:t xml:space="preserve"> </w:t>
      </w:r>
      <w:r w:rsidR="00AF1F86">
        <w:rPr>
          <w:sz w:val="22"/>
          <w:szCs w:val="22"/>
        </w:rPr>
        <w:t>2016</w:t>
      </w:r>
      <w:r w:rsidR="00782729" w:rsidRPr="00411B94">
        <w:rPr>
          <w:sz w:val="22"/>
          <w:szCs w:val="22"/>
        </w:rPr>
        <w:t xml:space="preserve"> </w:t>
      </w:r>
      <w:r w:rsidRPr="00411B94">
        <w:rPr>
          <w:sz w:val="22"/>
          <w:szCs w:val="22"/>
        </w:rPr>
        <w:t>Guidelines from time to time to further comply with Tax Credit Program requirements or to enable Agency staff to better fulfill its administrative duties and such changes would be applicable to the development.</w:t>
      </w:r>
    </w:p>
    <w:p w:rsidR="00225C35" w:rsidRPr="00411B94" w:rsidRDefault="00225C35" w:rsidP="00225C35">
      <w:pPr>
        <w:spacing w:line="240" w:lineRule="auto"/>
        <w:ind w:firstLine="360"/>
        <w:rPr>
          <w:sz w:val="22"/>
          <w:szCs w:val="22"/>
        </w:rPr>
      </w:pPr>
    </w:p>
    <w:p w:rsidR="00F266D2" w:rsidRPr="00411B94" w:rsidRDefault="00F266D2" w:rsidP="001E4B16">
      <w:pPr>
        <w:spacing w:line="240" w:lineRule="auto"/>
        <w:ind w:left="360" w:firstLine="360"/>
        <w:rPr>
          <w:sz w:val="22"/>
          <w:szCs w:val="22"/>
        </w:rPr>
      </w:pPr>
      <w:r w:rsidRPr="00411B94">
        <w:rPr>
          <w:sz w:val="22"/>
          <w:szCs w:val="22"/>
        </w:rPr>
        <w:t xml:space="preserve">The Agency reserves the right, in its sole discretion upon review and approval of a committee of the Board, to provide an allocation of Year </w:t>
      </w:r>
      <w:r w:rsidR="00AF1F86">
        <w:rPr>
          <w:sz w:val="22"/>
          <w:szCs w:val="22"/>
        </w:rPr>
        <w:t>2016</w:t>
      </w:r>
      <w:r w:rsidR="00782729" w:rsidRPr="00411B94">
        <w:rPr>
          <w:sz w:val="22"/>
          <w:szCs w:val="22"/>
        </w:rPr>
        <w:t xml:space="preserve"> </w:t>
      </w:r>
      <w:r w:rsidRPr="00411B94">
        <w:rPr>
          <w:sz w:val="22"/>
          <w:szCs w:val="22"/>
        </w:rPr>
        <w:t>Tax Credits to a development, without requiri</w:t>
      </w:r>
      <w:r w:rsidR="0011045A" w:rsidRPr="00411B94">
        <w:rPr>
          <w:sz w:val="22"/>
          <w:szCs w:val="22"/>
        </w:rPr>
        <w:t xml:space="preserve">ng re-ranking under the Year </w:t>
      </w:r>
      <w:r w:rsidR="00AF1F86">
        <w:rPr>
          <w:sz w:val="22"/>
          <w:szCs w:val="22"/>
        </w:rPr>
        <w:t>2016</w:t>
      </w:r>
      <w:r w:rsidR="00782729" w:rsidRPr="00411B94">
        <w:rPr>
          <w:sz w:val="22"/>
          <w:szCs w:val="22"/>
        </w:rPr>
        <w:t xml:space="preserve"> </w:t>
      </w:r>
      <w:r w:rsidRPr="00411B94">
        <w:rPr>
          <w:sz w:val="22"/>
          <w:szCs w:val="22"/>
        </w:rPr>
        <w:t>Allocation Plan. The development must be currently holding a valid allocation of Tax Credits and, due to circumstances beyond its control,</w:t>
      </w:r>
      <w:r w:rsidR="00BF4F1C" w:rsidRPr="00411B94">
        <w:rPr>
          <w:sz w:val="22"/>
          <w:szCs w:val="22"/>
        </w:rPr>
        <w:t xml:space="preserve"> be</w:t>
      </w:r>
      <w:r w:rsidRPr="00411B94">
        <w:rPr>
          <w:sz w:val="22"/>
          <w:szCs w:val="22"/>
        </w:rPr>
        <w:t xml:space="preserve"> unable to meet Tax Credit program placed in service deadlines. The Year </w:t>
      </w:r>
      <w:r w:rsidR="00AF1F86">
        <w:rPr>
          <w:sz w:val="22"/>
          <w:szCs w:val="22"/>
        </w:rPr>
        <w:t>2016</w:t>
      </w:r>
      <w:r w:rsidR="00782729" w:rsidRPr="00411B94">
        <w:rPr>
          <w:sz w:val="22"/>
          <w:szCs w:val="22"/>
        </w:rPr>
        <w:t xml:space="preserve"> </w:t>
      </w:r>
      <w:r w:rsidRPr="00411B94">
        <w:rPr>
          <w:sz w:val="22"/>
          <w:szCs w:val="22"/>
        </w:rPr>
        <w:t>Tax Credits will be allocated upon release and return of the prior allocation. Such circumstances may include delays caused by local government's opposition to affordable housing; delays due to the failure of the federal government to release</w:t>
      </w:r>
      <w:r w:rsidR="002E5AA6" w:rsidRPr="00411B94">
        <w:rPr>
          <w:sz w:val="22"/>
          <w:szCs w:val="22"/>
        </w:rPr>
        <w:t xml:space="preserve"> funding</w:t>
      </w:r>
      <w:r w:rsidRPr="00411B94">
        <w:rPr>
          <w:sz w:val="22"/>
          <w:szCs w:val="22"/>
        </w:rPr>
        <w:t xml:space="preserve"> program guidelines or regulations in a timely manner or due to temporary freezes in federal government budget authority for program activity; or similar extraordinary and compelling basis (and but for such circumstance, Agency program deadlines and requirements would have been met)</w:t>
      </w:r>
      <w:r w:rsidR="00277FED" w:rsidRPr="00411B94">
        <w:rPr>
          <w:sz w:val="22"/>
          <w:szCs w:val="22"/>
        </w:rPr>
        <w:t>.</w:t>
      </w:r>
      <w:r w:rsidRPr="00411B94">
        <w:rPr>
          <w:sz w:val="22"/>
          <w:szCs w:val="22"/>
        </w:rPr>
        <w:t xml:space="preserve"> Notwithstanding the above, </w:t>
      </w:r>
      <w:r w:rsidR="00DA629C" w:rsidRPr="00411B94">
        <w:rPr>
          <w:sz w:val="22"/>
          <w:szCs w:val="22"/>
        </w:rPr>
        <w:t>d</w:t>
      </w:r>
      <w:r w:rsidRPr="00411B94">
        <w:rPr>
          <w:sz w:val="22"/>
          <w:szCs w:val="22"/>
        </w:rPr>
        <w:t xml:space="preserve">evelopments which need additional Tax Credits to be viable for their equity closing must submit a new Application for funding with the Agency.  Said developments will not be considered for substitution of Tax Credits </w:t>
      </w:r>
      <w:r w:rsidR="00782729" w:rsidRPr="00411B94">
        <w:rPr>
          <w:sz w:val="22"/>
          <w:szCs w:val="22"/>
        </w:rPr>
        <w:t xml:space="preserve">if </w:t>
      </w:r>
      <w:r w:rsidRPr="00411B94">
        <w:rPr>
          <w:sz w:val="22"/>
          <w:szCs w:val="22"/>
        </w:rPr>
        <w:t xml:space="preserve">their Application has substantially changed.  Further, the Agency </w:t>
      </w:r>
      <w:r w:rsidR="009701CF" w:rsidRPr="00411B94">
        <w:rPr>
          <w:sz w:val="22"/>
          <w:szCs w:val="22"/>
        </w:rPr>
        <w:t>will generally not</w:t>
      </w:r>
      <w:r w:rsidRPr="00411B94">
        <w:rPr>
          <w:sz w:val="22"/>
          <w:szCs w:val="22"/>
        </w:rPr>
        <w:t xml:space="preserve"> consider any other Applications for Tax Credits for a new development submitted by the same applicant (or related entity or material participant) during the same or </w:t>
      </w:r>
      <w:r w:rsidR="00782729" w:rsidRPr="00411B94">
        <w:rPr>
          <w:sz w:val="22"/>
          <w:szCs w:val="22"/>
        </w:rPr>
        <w:t xml:space="preserve">subsequent </w:t>
      </w:r>
      <w:r w:rsidRPr="00411B94">
        <w:rPr>
          <w:sz w:val="22"/>
          <w:szCs w:val="22"/>
        </w:rPr>
        <w:t>funding round for Tax Credits if it provides this extraordinary relief due to the Developer's inability to meet placed in service deadlines.</w:t>
      </w:r>
    </w:p>
    <w:p w:rsidR="00371906" w:rsidRDefault="00371906" w:rsidP="001E4B16">
      <w:pPr>
        <w:spacing w:line="240" w:lineRule="auto"/>
        <w:ind w:left="360" w:firstLine="360"/>
        <w:rPr>
          <w:sz w:val="16"/>
          <w:szCs w:val="16"/>
        </w:rPr>
      </w:pPr>
    </w:p>
    <w:p w:rsidR="00E909B5" w:rsidRPr="006657BC" w:rsidRDefault="00E909B5" w:rsidP="001E4B16">
      <w:pPr>
        <w:spacing w:line="240" w:lineRule="auto"/>
        <w:ind w:left="360" w:firstLine="360"/>
        <w:rPr>
          <w:sz w:val="16"/>
          <w:szCs w:val="16"/>
        </w:rPr>
      </w:pPr>
    </w:p>
    <w:p w:rsidR="005F072D" w:rsidRPr="00411B94" w:rsidRDefault="005F072D" w:rsidP="00E94493">
      <w:pPr>
        <w:spacing w:line="240" w:lineRule="auto"/>
        <w:jc w:val="center"/>
        <w:rPr>
          <w:b/>
          <w:sz w:val="22"/>
          <w:szCs w:val="22"/>
          <w:u w:val="single"/>
        </w:rPr>
      </w:pPr>
      <w:r w:rsidRPr="00411B94">
        <w:rPr>
          <w:b/>
          <w:sz w:val="22"/>
          <w:szCs w:val="22"/>
          <w:u w:val="single"/>
        </w:rPr>
        <w:t>DEVELOPMENTS WITH MULTIPLE BUILDINGS</w:t>
      </w:r>
    </w:p>
    <w:p w:rsidR="005F072D" w:rsidRPr="006657BC" w:rsidRDefault="005F072D" w:rsidP="00E94493">
      <w:pPr>
        <w:spacing w:line="240" w:lineRule="auto"/>
        <w:rPr>
          <w:sz w:val="16"/>
          <w:szCs w:val="16"/>
        </w:rPr>
      </w:pPr>
    </w:p>
    <w:p w:rsidR="005F072D" w:rsidRPr="00411B94" w:rsidRDefault="005F072D" w:rsidP="001E4B16">
      <w:pPr>
        <w:spacing w:line="240" w:lineRule="auto"/>
        <w:ind w:left="360" w:firstLine="360"/>
        <w:rPr>
          <w:sz w:val="22"/>
          <w:szCs w:val="22"/>
          <w:u w:color="FF0000"/>
        </w:rPr>
      </w:pPr>
      <w:r w:rsidRPr="00411B94">
        <w:rPr>
          <w:sz w:val="22"/>
          <w:szCs w:val="22"/>
        </w:rPr>
        <w:t>A development may include multiple buildings if it has similarly constructed units, is located on the same or contiguous tracts of land, is owned by the same federal taxpayer and is financed pursuant to a common plan of financing.  A development with multiple buildings that is proposing a mixed income structure must have low-income units in each building of the development.  Scattered site buildings on noncontiguous tracts of land may also qualify if the development meets all of the other requirements described above and the development is 100 percent rent and income restricted</w:t>
      </w:r>
      <w:r w:rsidR="002E5C4B" w:rsidRPr="00411B94">
        <w:rPr>
          <w:sz w:val="22"/>
          <w:szCs w:val="22"/>
        </w:rPr>
        <w:t xml:space="preserve">, </w:t>
      </w:r>
      <w:r w:rsidR="002E5C4B" w:rsidRPr="00411B94">
        <w:rPr>
          <w:sz w:val="22"/>
          <w:szCs w:val="22"/>
          <w:u w:color="FF0000"/>
        </w:rPr>
        <w:t>however, costs associated with the development of a separate community building may not be eligible for Tax Credits unless the building contains a residential rental unit.</w:t>
      </w:r>
    </w:p>
    <w:p w:rsidR="00562014" w:rsidRPr="00411B94" w:rsidRDefault="00562014">
      <w:pPr>
        <w:widowControl/>
        <w:adjustRightInd/>
        <w:spacing w:line="240" w:lineRule="auto"/>
        <w:jc w:val="left"/>
        <w:textAlignment w:val="auto"/>
        <w:rPr>
          <w:sz w:val="22"/>
          <w:szCs w:val="22"/>
        </w:rPr>
      </w:pPr>
    </w:p>
    <w:p w:rsidR="005F072D" w:rsidRPr="00411B94" w:rsidRDefault="005F072D" w:rsidP="0017336C">
      <w:pPr>
        <w:widowControl/>
        <w:adjustRightInd/>
        <w:spacing w:line="240" w:lineRule="auto"/>
        <w:jc w:val="center"/>
        <w:textAlignment w:val="auto"/>
        <w:rPr>
          <w:b/>
          <w:sz w:val="22"/>
          <w:szCs w:val="22"/>
          <w:u w:val="single"/>
        </w:rPr>
      </w:pPr>
      <w:r w:rsidRPr="00411B94">
        <w:rPr>
          <w:b/>
          <w:sz w:val="22"/>
          <w:szCs w:val="22"/>
          <w:u w:val="single"/>
        </w:rPr>
        <w:t>COMPLIANCE</w:t>
      </w:r>
    </w:p>
    <w:p w:rsidR="005F072D" w:rsidRPr="00411B94" w:rsidRDefault="005F072D"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 xml:space="preserve">Owners are responsible for ongoing compliance with all requirements of </w:t>
      </w:r>
      <w:r w:rsidR="00411E53" w:rsidRPr="00411B94">
        <w:rPr>
          <w:sz w:val="22"/>
          <w:szCs w:val="22"/>
        </w:rPr>
        <w:t xml:space="preserve">the </w:t>
      </w:r>
      <w:r w:rsidRPr="00411B94">
        <w:rPr>
          <w:sz w:val="22"/>
          <w:szCs w:val="22"/>
        </w:rPr>
        <w:t>Code and the Agency’s Compliance Program Manual, including such rules, regulations, administrative revenue proclamations and revenue rulings as may be issued from time to time.</w:t>
      </w:r>
    </w:p>
    <w:p w:rsidR="005F072D" w:rsidRPr="00411B94" w:rsidRDefault="005F072D"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 xml:space="preserve">Each owner of a Tax Credit development must execute an agreement setting forth allowable occupancy and use restrictions, owner responsibilities and continuing Section 42 qualified development characteristics.  This </w:t>
      </w:r>
      <w:r w:rsidR="00DF075A" w:rsidRPr="00411B94">
        <w:rPr>
          <w:sz w:val="22"/>
          <w:szCs w:val="22"/>
        </w:rPr>
        <w:t>agreement</w:t>
      </w:r>
      <w:r w:rsidRPr="00411B94">
        <w:rPr>
          <w:sz w:val="22"/>
          <w:szCs w:val="22"/>
        </w:rPr>
        <w:t>, the "Restrictive Covenant Agreement," must be recorded for the maximum period required by the Code and no Tax Credits may be claimed by a property owner in any taxable year unless the Restrictive Covenant Agreement is in effect and is appropriately recorded on the property in the county land records.</w:t>
      </w:r>
    </w:p>
    <w:p w:rsidR="005F072D" w:rsidRPr="00411B94" w:rsidRDefault="005F072D"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The Agency will monitor each Tax Credit development for compliance with the Code.  Such requirements may change from time to time and the protocol for compliance monitoring may be adjusted as deemed necessary or appropriate by the Agency.  In addition to monitoring for all federal requirements, developments will be monitored for compliance with the occupancy standards, Selection Criteria and other covenants set forth in the Restrictive Covenant Agreement.</w:t>
      </w:r>
      <w:r w:rsidR="0014597B" w:rsidRPr="00411B94">
        <w:rPr>
          <w:sz w:val="22"/>
          <w:szCs w:val="22"/>
          <w:u w:color="FF0000"/>
        </w:rPr>
        <w:t xml:space="preserve"> </w:t>
      </w:r>
      <w:r w:rsidR="00491A06" w:rsidRPr="00411B94">
        <w:rPr>
          <w:sz w:val="22"/>
          <w:szCs w:val="22"/>
          <w:u w:color="FF0000"/>
        </w:rPr>
        <w:t xml:space="preserve"> </w:t>
      </w:r>
      <w:r w:rsidR="0014597B" w:rsidRPr="00411B94">
        <w:rPr>
          <w:sz w:val="22"/>
          <w:szCs w:val="22"/>
          <w:u w:color="FF0000"/>
        </w:rPr>
        <w:t xml:space="preserve">A form authorizing the release of compliance information is on the Agency's website, </w:t>
      </w:r>
      <w:r w:rsidR="007A6782" w:rsidRPr="00411B94">
        <w:rPr>
          <w:i/>
          <w:sz w:val="22"/>
          <w:szCs w:val="22"/>
          <w:u w:color="FF0000"/>
        </w:rPr>
        <w:t>www.phfa.org.</w:t>
      </w:r>
      <w:r w:rsidR="0014597B" w:rsidRPr="00411B94">
        <w:rPr>
          <w:sz w:val="22"/>
          <w:szCs w:val="22"/>
          <w:u w:color="FF0000"/>
        </w:rPr>
        <w:t xml:space="preserve">  However, </w:t>
      </w:r>
      <w:r w:rsidR="003A074B" w:rsidRPr="00411B94">
        <w:rPr>
          <w:sz w:val="22"/>
          <w:szCs w:val="22"/>
          <w:u w:color="FF0000"/>
        </w:rPr>
        <w:t xml:space="preserve">the Agency </w:t>
      </w:r>
      <w:r w:rsidR="0014597B" w:rsidRPr="00411B94">
        <w:rPr>
          <w:sz w:val="22"/>
          <w:szCs w:val="22"/>
          <w:u w:color="FF0000"/>
        </w:rPr>
        <w:t>may release related information even if no release form is submitted.</w:t>
      </w:r>
    </w:p>
    <w:p w:rsidR="002F5160" w:rsidRPr="00411B94" w:rsidRDefault="002F5160" w:rsidP="00E94493">
      <w:pPr>
        <w:spacing w:line="240" w:lineRule="auto"/>
        <w:rPr>
          <w:sz w:val="22"/>
          <w:szCs w:val="22"/>
        </w:rPr>
      </w:pPr>
    </w:p>
    <w:p w:rsidR="00491A05" w:rsidRPr="00411B94" w:rsidRDefault="00B41B44">
      <w:pPr>
        <w:pStyle w:val="ListParagraph"/>
        <w:spacing w:line="240" w:lineRule="auto"/>
        <w:ind w:left="360" w:firstLine="360"/>
        <w:rPr>
          <w:sz w:val="22"/>
          <w:szCs w:val="22"/>
        </w:rPr>
      </w:pPr>
      <w:r w:rsidRPr="00411B94">
        <w:rPr>
          <w:sz w:val="22"/>
          <w:szCs w:val="22"/>
        </w:rPr>
        <w:t>T</w:t>
      </w:r>
      <w:r w:rsidR="002F5160" w:rsidRPr="00411B94">
        <w:rPr>
          <w:sz w:val="22"/>
          <w:szCs w:val="22"/>
        </w:rPr>
        <w:t xml:space="preserve">he Agency </w:t>
      </w:r>
      <w:r w:rsidR="0028626B" w:rsidRPr="00411B94">
        <w:rPr>
          <w:sz w:val="22"/>
          <w:szCs w:val="22"/>
        </w:rPr>
        <w:t xml:space="preserve">has established </w:t>
      </w:r>
      <w:r w:rsidR="002F5160" w:rsidRPr="00411B94">
        <w:rPr>
          <w:sz w:val="22"/>
          <w:szCs w:val="22"/>
        </w:rPr>
        <w:t xml:space="preserve">an interactive database </w:t>
      </w:r>
      <w:r w:rsidR="00AD522E" w:rsidRPr="00411B94">
        <w:rPr>
          <w:sz w:val="22"/>
          <w:szCs w:val="22"/>
        </w:rPr>
        <w:t>(</w:t>
      </w:r>
      <w:r w:rsidR="00DA629C" w:rsidRPr="00411B94">
        <w:rPr>
          <w:sz w:val="22"/>
          <w:szCs w:val="22"/>
        </w:rPr>
        <w:t>“</w:t>
      </w:r>
      <w:r w:rsidR="00DF2AD7" w:rsidRPr="00411B94">
        <w:rPr>
          <w:sz w:val="22"/>
          <w:szCs w:val="22"/>
        </w:rPr>
        <w:t>PA Housing Search</w:t>
      </w:r>
      <w:r w:rsidR="00AD522E" w:rsidRPr="00411B94">
        <w:rPr>
          <w:sz w:val="22"/>
          <w:szCs w:val="22"/>
        </w:rPr>
        <w:t xml:space="preserve">") </w:t>
      </w:r>
      <w:r w:rsidR="002F5160" w:rsidRPr="00411B94">
        <w:rPr>
          <w:sz w:val="22"/>
          <w:szCs w:val="22"/>
        </w:rPr>
        <w:t xml:space="preserve">for all affordable housing units in developments participating in any of </w:t>
      </w:r>
      <w:r w:rsidR="00EC2E99" w:rsidRPr="00411B94">
        <w:rPr>
          <w:sz w:val="22"/>
          <w:szCs w:val="22"/>
        </w:rPr>
        <w:t>the Agency's</w:t>
      </w:r>
      <w:r w:rsidR="00453C4D" w:rsidRPr="00411B94">
        <w:rPr>
          <w:sz w:val="22"/>
          <w:szCs w:val="22"/>
        </w:rPr>
        <w:t xml:space="preserve"> </w:t>
      </w:r>
      <w:r w:rsidR="002F5160" w:rsidRPr="00411B94">
        <w:rPr>
          <w:sz w:val="22"/>
          <w:szCs w:val="22"/>
        </w:rPr>
        <w:t>multifamily housing programs</w:t>
      </w:r>
      <w:r w:rsidR="00EC2E99" w:rsidRPr="00411B94">
        <w:rPr>
          <w:sz w:val="22"/>
          <w:szCs w:val="22"/>
        </w:rPr>
        <w:t>, t</w:t>
      </w:r>
      <w:r w:rsidR="0061134D" w:rsidRPr="00411B94">
        <w:rPr>
          <w:sz w:val="22"/>
          <w:szCs w:val="22"/>
        </w:rPr>
        <w:t>o</w:t>
      </w:r>
      <w:r w:rsidR="00EC2E99" w:rsidRPr="00411B94">
        <w:rPr>
          <w:sz w:val="22"/>
          <w:szCs w:val="22"/>
        </w:rPr>
        <w:t xml:space="preserve"> provide a resource for households seeking affordable housing throughout the Commonwea</w:t>
      </w:r>
      <w:r w:rsidR="0061134D" w:rsidRPr="00411B94">
        <w:rPr>
          <w:sz w:val="22"/>
          <w:szCs w:val="22"/>
        </w:rPr>
        <w:t>l</w:t>
      </w:r>
      <w:r w:rsidR="00EC2E99" w:rsidRPr="00411B94">
        <w:rPr>
          <w:sz w:val="22"/>
          <w:szCs w:val="22"/>
        </w:rPr>
        <w:t>th and to provide a marketing tool to owners</w:t>
      </w:r>
      <w:r w:rsidR="002F5160" w:rsidRPr="00411B94">
        <w:rPr>
          <w:sz w:val="22"/>
          <w:szCs w:val="22"/>
        </w:rPr>
        <w:t xml:space="preserve">.  All developments receiving </w:t>
      </w:r>
      <w:r w:rsidR="00AF1F86">
        <w:rPr>
          <w:sz w:val="22"/>
          <w:szCs w:val="22"/>
        </w:rPr>
        <w:t>2016</w:t>
      </w:r>
      <w:r w:rsidR="003A074B" w:rsidRPr="00411B94">
        <w:rPr>
          <w:sz w:val="22"/>
          <w:szCs w:val="22"/>
        </w:rPr>
        <w:t xml:space="preserve"> </w:t>
      </w:r>
      <w:r w:rsidR="002F5160" w:rsidRPr="00411B94">
        <w:rPr>
          <w:sz w:val="22"/>
          <w:szCs w:val="22"/>
        </w:rPr>
        <w:t>Tax Credits must participate in this data collection effort</w:t>
      </w:r>
      <w:r w:rsidR="00326D7D" w:rsidRPr="00411B94">
        <w:rPr>
          <w:sz w:val="22"/>
          <w:szCs w:val="22"/>
        </w:rPr>
        <w:t>, which may also include submission of a resident survey</w:t>
      </w:r>
      <w:r w:rsidR="001A5AEB" w:rsidRPr="00411B94">
        <w:rPr>
          <w:sz w:val="22"/>
          <w:szCs w:val="22"/>
        </w:rPr>
        <w:t>,</w:t>
      </w:r>
      <w:r w:rsidR="002F5160" w:rsidRPr="00411B94">
        <w:rPr>
          <w:sz w:val="22"/>
          <w:szCs w:val="22"/>
        </w:rPr>
        <w:t xml:space="preserve"> and will be expected to provide information </w:t>
      </w:r>
      <w:r w:rsidR="0004020F" w:rsidRPr="00411B94">
        <w:rPr>
          <w:sz w:val="22"/>
          <w:szCs w:val="22"/>
        </w:rPr>
        <w:t xml:space="preserve">including, but not limited to </w:t>
      </w:r>
      <w:r w:rsidR="00ED7E70" w:rsidRPr="00411B94">
        <w:rPr>
          <w:sz w:val="22"/>
          <w:szCs w:val="22"/>
        </w:rPr>
        <w:t xml:space="preserve">unit amenities, </w:t>
      </w:r>
      <w:r w:rsidR="0004020F" w:rsidRPr="00411B94">
        <w:rPr>
          <w:sz w:val="22"/>
          <w:szCs w:val="22"/>
        </w:rPr>
        <w:t xml:space="preserve">household size, </w:t>
      </w:r>
      <w:r w:rsidR="00ED7E70" w:rsidRPr="00411B94">
        <w:rPr>
          <w:sz w:val="22"/>
          <w:szCs w:val="22"/>
        </w:rPr>
        <w:t xml:space="preserve">household </w:t>
      </w:r>
      <w:r w:rsidR="0004020F" w:rsidRPr="00411B94">
        <w:rPr>
          <w:sz w:val="22"/>
          <w:szCs w:val="22"/>
        </w:rPr>
        <w:t xml:space="preserve">income and </w:t>
      </w:r>
      <w:r w:rsidR="00ED7E70" w:rsidRPr="00411B94">
        <w:rPr>
          <w:sz w:val="22"/>
          <w:szCs w:val="22"/>
        </w:rPr>
        <w:t>move</w:t>
      </w:r>
      <w:r w:rsidR="0028626B" w:rsidRPr="00411B94">
        <w:rPr>
          <w:sz w:val="22"/>
          <w:szCs w:val="22"/>
        </w:rPr>
        <w:t>-</w:t>
      </w:r>
      <w:r w:rsidR="00ED7E70" w:rsidRPr="00411B94">
        <w:rPr>
          <w:sz w:val="22"/>
          <w:szCs w:val="22"/>
        </w:rPr>
        <w:t>in information</w:t>
      </w:r>
      <w:r w:rsidR="002F5160" w:rsidRPr="00411B94">
        <w:rPr>
          <w:sz w:val="22"/>
          <w:szCs w:val="22"/>
        </w:rPr>
        <w:t xml:space="preserve"> and </w:t>
      </w:r>
      <w:r w:rsidR="00ED7E70" w:rsidRPr="00411B94">
        <w:rPr>
          <w:sz w:val="22"/>
          <w:szCs w:val="22"/>
        </w:rPr>
        <w:t xml:space="preserve">any ongoing </w:t>
      </w:r>
      <w:r w:rsidR="0004020F" w:rsidRPr="00411B94">
        <w:rPr>
          <w:sz w:val="22"/>
          <w:szCs w:val="22"/>
        </w:rPr>
        <w:t xml:space="preserve">unit </w:t>
      </w:r>
      <w:r w:rsidR="002F5160" w:rsidRPr="00411B94">
        <w:rPr>
          <w:sz w:val="22"/>
          <w:szCs w:val="22"/>
        </w:rPr>
        <w:t>vacanc</w:t>
      </w:r>
      <w:r w:rsidR="0004020F" w:rsidRPr="00411B94">
        <w:rPr>
          <w:sz w:val="22"/>
          <w:szCs w:val="22"/>
        </w:rPr>
        <w:t>ies</w:t>
      </w:r>
      <w:r w:rsidR="002F5160" w:rsidRPr="00411B94">
        <w:rPr>
          <w:sz w:val="22"/>
          <w:szCs w:val="22"/>
        </w:rPr>
        <w:t xml:space="preserve"> in a </w:t>
      </w:r>
      <w:r w:rsidR="0004020F" w:rsidRPr="00411B94">
        <w:rPr>
          <w:sz w:val="22"/>
          <w:szCs w:val="22"/>
        </w:rPr>
        <w:t xml:space="preserve">secure and </w:t>
      </w:r>
      <w:r w:rsidR="002F5160" w:rsidRPr="00411B94">
        <w:rPr>
          <w:sz w:val="22"/>
          <w:szCs w:val="22"/>
        </w:rPr>
        <w:t xml:space="preserve">timely manner.  </w:t>
      </w:r>
      <w:r w:rsidR="00DD4323" w:rsidRPr="00411B94">
        <w:rPr>
          <w:sz w:val="22"/>
          <w:szCs w:val="22"/>
          <w:u w:color="FF0000"/>
        </w:rPr>
        <w:t xml:space="preserve">Owners are reminded that they must comply with the Agency's Accessible Unit Policy (see </w:t>
      </w:r>
      <w:r w:rsidR="00AF1F86">
        <w:rPr>
          <w:sz w:val="22"/>
          <w:szCs w:val="22"/>
          <w:u w:color="FF0000"/>
        </w:rPr>
        <w:t>2016</w:t>
      </w:r>
      <w:r w:rsidR="00A57488" w:rsidRPr="00411B94">
        <w:rPr>
          <w:sz w:val="22"/>
          <w:szCs w:val="22"/>
          <w:u w:color="FF0000"/>
        </w:rPr>
        <w:t xml:space="preserve"> </w:t>
      </w:r>
      <w:r w:rsidR="00DD4323" w:rsidRPr="00411B94">
        <w:rPr>
          <w:sz w:val="22"/>
          <w:szCs w:val="22"/>
        </w:rPr>
        <w:t>Guidelines).</w:t>
      </w:r>
      <w:r w:rsidR="0014597B" w:rsidRPr="00411B94">
        <w:rPr>
          <w:sz w:val="22"/>
          <w:szCs w:val="22"/>
          <w:u w:color="FF0000"/>
        </w:rPr>
        <w:t xml:space="preserve"> </w:t>
      </w:r>
    </w:p>
    <w:p w:rsidR="005F072D" w:rsidRPr="00411B94" w:rsidRDefault="005F072D"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All owners must keep the following records for each qualified low income building in the development for each year of the compliance period:</w:t>
      </w:r>
      <w:r w:rsidR="00C6352F" w:rsidRPr="00411B94">
        <w:rPr>
          <w:sz w:val="22"/>
          <w:szCs w:val="22"/>
        </w:rPr>
        <w:t xml:space="preserve"> the</w:t>
      </w:r>
      <w:r w:rsidRPr="00411B94">
        <w:rPr>
          <w:sz w:val="22"/>
          <w:szCs w:val="22"/>
        </w:rPr>
        <w:t xml:space="preserve"> number of residential units in the building, the number of low income units in building, the number of occupants in each low income unit, the number of bedrooms in each unit, the square footage of each unit, the rent charged on each unit including the utility allowance, the low income unit vacancies in the building and the rentals of the next available unit for each building in the development including when and to whom it was rented.  The owner must also keep documentation of the eligible basis and the qualified basis of the building as of the end of the first year of the Tax Credit period.  Owners must also keep a record of the annual income certification of low income residents along with documentation to support the certification.  </w:t>
      </w:r>
      <w:r w:rsidR="00822997" w:rsidRPr="00411B94">
        <w:rPr>
          <w:sz w:val="22"/>
          <w:szCs w:val="22"/>
        </w:rPr>
        <w:t xml:space="preserve">(Effective January 1, 2009, Owners with 100% of the units qualified as </w:t>
      </w:r>
      <w:r w:rsidR="002E5AA6" w:rsidRPr="00411B94">
        <w:rPr>
          <w:sz w:val="22"/>
          <w:szCs w:val="22"/>
        </w:rPr>
        <w:t xml:space="preserve">Tax Credit </w:t>
      </w:r>
      <w:r w:rsidR="00822997" w:rsidRPr="00411B94">
        <w:rPr>
          <w:sz w:val="22"/>
          <w:szCs w:val="22"/>
        </w:rPr>
        <w:t>units do not have to provide annual income certifications but must provide updates on household</w:t>
      </w:r>
      <w:r w:rsidR="001448C6" w:rsidRPr="00411B94">
        <w:rPr>
          <w:sz w:val="22"/>
          <w:szCs w:val="22"/>
        </w:rPr>
        <w:t xml:space="preserve"> </w:t>
      </w:r>
      <w:r w:rsidR="00822997" w:rsidRPr="00411B94">
        <w:rPr>
          <w:sz w:val="22"/>
          <w:szCs w:val="22"/>
        </w:rPr>
        <w:t>composition, student status and rent on the Agency’s on-line compliance reporting system</w:t>
      </w:r>
      <w:r w:rsidR="00AE3C2C" w:rsidRPr="00411B94">
        <w:rPr>
          <w:sz w:val="22"/>
          <w:szCs w:val="22"/>
        </w:rPr>
        <w:t xml:space="preserve"> or on PA Housing Search</w:t>
      </w:r>
      <w:r w:rsidR="00822997" w:rsidRPr="00411B94">
        <w:rPr>
          <w:sz w:val="22"/>
          <w:szCs w:val="22"/>
        </w:rPr>
        <w:t>.</w:t>
      </w:r>
      <w:r w:rsidR="00BF4F1C" w:rsidRPr="00411B94">
        <w:rPr>
          <w:sz w:val="22"/>
          <w:szCs w:val="22"/>
        </w:rPr>
        <w:t xml:space="preserve">  In addition, subsequent data collection efforts may be applicable to the Development and each Owner must agree in advance to participate in these data collection initiatives</w:t>
      </w:r>
      <w:r w:rsidR="00CC428C" w:rsidRPr="00411B94">
        <w:rPr>
          <w:sz w:val="22"/>
          <w:szCs w:val="22"/>
        </w:rPr>
        <w:t xml:space="preserve"> which may </w:t>
      </w:r>
      <w:r w:rsidR="00083059" w:rsidRPr="00083059">
        <w:rPr>
          <w:color w:val="000000" w:themeColor="text1"/>
          <w:sz w:val="22"/>
          <w:szCs w:val="22"/>
        </w:rPr>
        <w:t>include availability and occupancy of accessible units and submission of tenant and project paid utility documentation for the entire development.)  Owners renting to holders of Section 8 certificates or vouchers may ask the pub</w:t>
      </w:r>
      <w:r w:rsidRPr="00411B94">
        <w:rPr>
          <w:sz w:val="22"/>
          <w:szCs w:val="22"/>
        </w:rPr>
        <w:t>lic housing authority issuing the certificates or vouchers to provide a statement declaring that the resident's income does not exceed the applicable income limit under the Code.  Any nonresidential portion of a building included in the eligible basis of the building must demonstrate its availability to all residents in the building at no additional cost to the residents.</w:t>
      </w:r>
    </w:p>
    <w:p w:rsidR="005F072D" w:rsidRPr="00411B94" w:rsidRDefault="005F072D"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Records for the first year of the Tax Credit period must be retained for at least 6 years beyond the due date (with extensions) for filing the federal income tax return for the last year of the compliance period of the building.  In all subsequent years of the Tax Credit period, records must be kept by property owners for a minimum of 6 years after the due date (with extensions) for filing the federal income tax return for the year.</w:t>
      </w:r>
    </w:p>
    <w:p w:rsidR="005F072D" w:rsidRPr="00411B94" w:rsidRDefault="005F072D" w:rsidP="00E94493">
      <w:pPr>
        <w:spacing w:line="240" w:lineRule="auto"/>
        <w:rPr>
          <w:sz w:val="22"/>
          <w:szCs w:val="22"/>
        </w:rPr>
      </w:pPr>
    </w:p>
    <w:p w:rsidR="005F072D" w:rsidRPr="00411B94" w:rsidRDefault="005F072D" w:rsidP="00291655">
      <w:pPr>
        <w:widowControl/>
        <w:spacing w:line="240" w:lineRule="auto"/>
        <w:ind w:left="360" w:firstLine="360"/>
        <w:rPr>
          <w:sz w:val="22"/>
          <w:szCs w:val="22"/>
        </w:rPr>
      </w:pPr>
      <w:r w:rsidRPr="00411B94">
        <w:rPr>
          <w:sz w:val="22"/>
          <w:szCs w:val="22"/>
        </w:rPr>
        <w:t xml:space="preserve">The Agency will also review and monitor developments for compliance with required certification submissions.  Owners must provide certification at least annually to the Agency, under penalty of perjury, </w:t>
      </w:r>
      <w:r w:rsidR="00822997" w:rsidRPr="00411B94">
        <w:rPr>
          <w:sz w:val="22"/>
          <w:szCs w:val="22"/>
        </w:rPr>
        <w:t xml:space="preserve">through the Agency’s on-line compliance reporting system, </w:t>
      </w:r>
      <w:r w:rsidRPr="00411B94">
        <w:rPr>
          <w:sz w:val="22"/>
          <w:szCs w:val="22"/>
        </w:rPr>
        <w:t xml:space="preserve">as to the following: the development meets the requirements of the elected minimum set-aside test; the applicable fraction, as defined in Section 42(c)(1)(B) of the Code, of each building in the development has not changed, or, if there was </w:t>
      </w:r>
      <w:r w:rsidR="00DA629C" w:rsidRPr="00411B94">
        <w:rPr>
          <w:sz w:val="22"/>
          <w:szCs w:val="22"/>
        </w:rPr>
        <w:t xml:space="preserve">a </w:t>
      </w:r>
      <w:r w:rsidRPr="00411B94">
        <w:rPr>
          <w:sz w:val="22"/>
          <w:szCs w:val="22"/>
        </w:rPr>
        <w:t>change, a description of the change; owner has received the annual income certification from each low income resident along with supporting documentation; the low income unit is rent restricted under Section 42(g)(2) of the Code; all units are available to the general public and used on a non-transient basis and no finding of discrimination under the Fair Housing Act has occurred for the development; each building is suitable for occupancy pursuant to local health, safety and building codes</w:t>
      </w:r>
      <w:r w:rsidR="007D7E95" w:rsidRPr="00411B94">
        <w:rPr>
          <w:sz w:val="22"/>
          <w:szCs w:val="22"/>
        </w:rPr>
        <w:t xml:space="preserve"> and meets all habitability standards for the Tax Credit Program</w:t>
      </w:r>
      <w:r w:rsidRPr="00411B94">
        <w:rPr>
          <w:sz w:val="22"/>
          <w:szCs w:val="22"/>
        </w:rPr>
        <w:t xml:space="preserve">; the building's eligible basis pursuant to Section 42(d) of the Code has remained the same (or if there was a change, the nature of the change); and any resident facility in the building is available to all residents in the building on a comparable basis without a separate fee charged to the resident.  </w:t>
      </w:r>
      <w:r w:rsidR="00723AA6" w:rsidRPr="00411B94">
        <w:rPr>
          <w:sz w:val="22"/>
          <w:szCs w:val="22"/>
        </w:rPr>
        <w:t xml:space="preserve">Furthermore, </w:t>
      </w:r>
      <w:r w:rsidR="007D7E95" w:rsidRPr="00411B94">
        <w:rPr>
          <w:sz w:val="22"/>
          <w:szCs w:val="22"/>
        </w:rPr>
        <w:t>o</w:t>
      </w:r>
      <w:r w:rsidR="00723AA6" w:rsidRPr="00411B94">
        <w:rPr>
          <w:sz w:val="22"/>
          <w:szCs w:val="22"/>
        </w:rPr>
        <w:t>wner</w:t>
      </w:r>
      <w:r w:rsidR="007D7E95" w:rsidRPr="00411B94">
        <w:rPr>
          <w:sz w:val="22"/>
          <w:szCs w:val="22"/>
        </w:rPr>
        <w:t>s</w:t>
      </w:r>
      <w:r w:rsidR="00723AA6" w:rsidRPr="00411B94">
        <w:rPr>
          <w:sz w:val="22"/>
          <w:szCs w:val="22"/>
        </w:rPr>
        <w:t xml:space="preserve"> must certify that </w:t>
      </w:r>
      <w:r w:rsidR="00723AA6" w:rsidRPr="00411B94">
        <w:rPr>
          <w:iCs/>
          <w:sz w:val="22"/>
          <w:szCs w:val="22"/>
        </w:rPr>
        <w:t xml:space="preserve">no low-income resident of a </w:t>
      </w:r>
      <w:r w:rsidR="007D7E95" w:rsidRPr="00411B94">
        <w:rPr>
          <w:iCs/>
          <w:sz w:val="22"/>
          <w:szCs w:val="22"/>
        </w:rPr>
        <w:t>T</w:t>
      </w:r>
      <w:r w:rsidR="00723AA6" w:rsidRPr="00411B94">
        <w:rPr>
          <w:iCs/>
          <w:sz w:val="22"/>
          <w:szCs w:val="22"/>
        </w:rPr>
        <w:t xml:space="preserve">ax </w:t>
      </w:r>
      <w:r w:rsidR="007D7E95" w:rsidRPr="00411B94">
        <w:rPr>
          <w:iCs/>
          <w:sz w:val="22"/>
          <w:szCs w:val="22"/>
        </w:rPr>
        <w:t>C</w:t>
      </w:r>
      <w:r w:rsidR="00723AA6" w:rsidRPr="00411B94">
        <w:rPr>
          <w:iCs/>
          <w:sz w:val="22"/>
          <w:szCs w:val="22"/>
        </w:rPr>
        <w:t xml:space="preserve">redit property </w:t>
      </w:r>
      <w:r w:rsidR="007D7E95" w:rsidRPr="00411B94">
        <w:rPr>
          <w:iCs/>
          <w:sz w:val="22"/>
          <w:szCs w:val="22"/>
        </w:rPr>
        <w:t xml:space="preserve">will be or has been </w:t>
      </w:r>
      <w:r w:rsidR="00723AA6" w:rsidRPr="00411B94">
        <w:rPr>
          <w:iCs/>
          <w:sz w:val="22"/>
          <w:szCs w:val="22"/>
        </w:rPr>
        <w:t xml:space="preserve">evicted or otherwise </w:t>
      </w:r>
      <w:r w:rsidR="007D7E95" w:rsidRPr="00411B94">
        <w:rPr>
          <w:iCs/>
          <w:sz w:val="22"/>
          <w:szCs w:val="22"/>
        </w:rPr>
        <w:t>had</w:t>
      </w:r>
      <w:r w:rsidR="00723AA6" w:rsidRPr="00411B94">
        <w:rPr>
          <w:iCs/>
          <w:sz w:val="22"/>
          <w:szCs w:val="22"/>
        </w:rPr>
        <w:t xml:space="preserve"> their lease terminated other than for good cause</w:t>
      </w:r>
      <w:r w:rsidR="007D7E95" w:rsidRPr="00411B94">
        <w:rPr>
          <w:iCs/>
          <w:sz w:val="22"/>
          <w:szCs w:val="22"/>
        </w:rPr>
        <w:t xml:space="preserve"> and owner must confirm that all leases state this affirmatively</w:t>
      </w:r>
      <w:r w:rsidR="00723AA6" w:rsidRPr="00411B94">
        <w:rPr>
          <w:iCs/>
          <w:sz w:val="22"/>
          <w:szCs w:val="22"/>
        </w:rPr>
        <w:t xml:space="preserve">.  </w:t>
      </w:r>
      <w:r w:rsidR="007E4C55" w:rsidRPr="00411B94">
        <w:rPr>
          <w:b/>
          <w:iCs/>
          <w:sz w:val="22"/>
          <w:szCs w:val="22"/>
        </w:rPr>
        <w:t>The Agency requi</w:t>
      </w:r>
      <w:r w:rsidR="00292EF5">
        <w:rPr>
          <w:b/>
          <w:iCs/>
          <w:sz w:val="22"/>
          <w:szCs w:val="22"/>
        </w:rPr>
        <w:t xml:space="preserve">res a copy of the form of lease with Agency’s Lease Addendum </w:t>
      </w:r>
      <w:r w:rsidR="007E4C55" w:rsidRPr="00411B94">
        <w:rPr>
          <w:b/>
          <w:iCs/>
          <w:sz w:val="22"/>
          <w:szCs w:val="22"/>
        </w:rPr>
        <w:t>to be submitted</w:t>
      </w:r>
      <w:r w:rsidR="00AE3C2C" w:rsidRPr="00411B94">
        <w:rPr>
          <w:iCs/>
          <w:sz w:val="22"/>
          <w:szCs w:val="22"/>
        </w:rPr>
        <w:t xml:space="preserve">.  </w:t>
      </w:r>
      <w:r w:rsidR="007A7668" w:rsidRPr="00411B94">
        <w:rPr>
          <w:iCs/>
          <w:sz w:val="22"/>
          <w:szCs w:val="22"/>
        </w:rPr>
        <w:t>Exper</w:t>
      </w:r>
      <w:r w:rsidR="00681BCA" w:rsidRPr="00411B94">
        <w:rPr>
          <w:iCs/>
          <w:sz w:val="22"/>
          <w:szCs w:val="22"/>
        </w:rPr>
        <w:t xml:space="preserve">ience </w:t>
      </w:r>
      <w:r w:rsidR="00BB1774" w:rsidRPr="00411B94">
        <w:rPr>
          <w:iCs/>
          <w:sz w:val="22"/>
          <w:szCs w:val="22"/>
        </w:rPr>
        <w:t xml:space="preserve">as </w:t>
      </w:r>
      <w:r w:rsidR="009701CF" w:rsidRPr="00411B94">
        <w:rPr>
          <w:iCs/>
          <w:sz w:val="22"/>
          <w:szCs w:val="22"/>
        </w:rPr>
        <w:t>a</w:t>
      </w:r>
      <w:r w:rsidR="00BB1774" w:rsidRPr="00411B94">
        <w:rPr>
          <w:iCs/>
          <w:sz w:val="22"/>
          <w:szCs w:val="22"/>
        </w:rPr>
        <w:t xml:space="preserve"> victim </w:t>
      </w:r>
      <w:r w:rsidR="00681BCA" w:rsidRPr="00411B94">
        <w:rPr>
          <w:iCs/>
          <w:sz w:val="22"/>
          <w:szCs w:val="22"/>
        </w:rPr>
        <w:t>of domestic violence alone</w:t>
      </w:r>
      <w:r w:rsidR="007A7668" w:rsidRPr="00411B94">
        <w:rPr>
          <w:iCs/>
          <w:sz w:val="22"/>
          <w:szCs w:val="22"/>
        </w:rPr>
        <w:t xml:space="preserve"> may not constitute good cause for eviction under the terms of the lease</w:t>
      </w:r>
      <w:r w:rsidR="009701CF" w:rsidRPr="00411B94">
        <w:rPr>
          <w:iCs/>
          <w:sz w:val="22"/>
          <w:szCs w:val="22"/>
        </w:rPr>
        <w:t xml:space="preserve"> (if other occupancy rules are met). </w:t>
      </w:r>
      <w:r w:rsidR="007A7668" w:rsidRPr="00411B94">
        <w:rPr>
          <w:iCs/>
          <w:sz w:val="22"/>
          <w:szCs w:val="22"/>
        </w:rPr>
        <w:t xml:space="preserve"> </w:t>
      </w:r>
      <w:r w:rsidRPr="00411B94">
        <w:rPr>
          <w:sz w:val="22"/>
          <w:szCs w:val="22"/>
        </w:rPr>
        <w:t>Owner must also certify that if a low income unit becom</w:t>
      </w:r>
      <w:r w:rsidR="00681BCA" w:rsidRPr="00411B94">
        <w:rPr>
          <w:sz w:val="22"/>
          <w:szCs w:val="22"/>
        </w:rPr>
        <w:t>es vacant, reasonable attempts will be</w:t>
      </w:r>
      <w:r w:rsidRPr="00411B94">
        <w:rPr>
          <w:sz w:val="22"/>
          <w:szCs w:val="22"/>
        </w:rPr>
        <w:t xml:space="preserve"> made to rent that unit to a qualified low income resident, and while that unit is vacant no units </w:t>
      </w:r>
      <w:r w:rsidRPr="00411B94">
        <w:rPr>
          <w:sz w:val="22"/>
          <w:szCs w:val="22"/>
        </w:rPr>
        <w:lastRenderedPageBreak/>
        <w:t>of comparable or smaller size may be rented to a non-qualified low income resident.  If a low income resident's income rises above the limit established in Section 42(g</w:t>
      </w:r>
      <w:proofErr w:type="gramStart"/>
      <w:r w:rsidRPr="00411B94">
        <w:rPr>
          <w:sz w:val="22"/>
          <w:szCs w:val="22"/>
        </w:rPr>
        <w:t>)(</w:t>
      </w:r>
      <w:proofErr w:type="gramEnd"/>
      <w:r w:rsidRPr="00411B94">
        <w:rPr>
          <w:sz w:val="22"/>
          <w:szCs w:val="22"/>
        </w:rPr>
        <w:t>2)(D)(ii) of the Code, all available units of comparable or smaller size in that building must be rented to an income qualified resident. Owner must also certify that an extended low income housing commitment, as described in Section 42(h</w:t>
      </w:r>
      <w:proofErr w:type="gramStart"/>
      <w:r w:rsidRPr="00411B94">
        <w:rPr>
          <w:sz w:val="22"/>
          <w:szCs w:val="22"/>
        </w:rPr>
        <w:t>)(</w:t>
      </w:r>
      <w:proofErr w:type="gramEnd"/>
      <w:r w:rsidRPr="00411B94">
        <w:rPr>
          <w:sz w:val="22"/>
          <w:szCs w:val="22"/>
        </w:rPr>
        <w:t xml:space="preserve">6) of the Code, was in effect for all qualified low income buildings in the development.  Owner must also certify that a unit lease has not been refused to a Section 8 applicant because the applicant holds a Section 8 voucher or certificate.  </w:t>
      </w:r>
      <w:r w:rsidR="003231AA" w:rsidRPr="00411B94">
        <w:rPr>
          <w:sz w:val="22"/>
          <w:szCs w:val="22"/>
        </w:rPr>
        <w:t>Owner’s certifications</w:t>
      </w:r>
      <w:r w:rsidRPr="00411B94">
        <w:rPr>
          <w:sz w:val="22"/>
          <w:szCs w:val="22"/>
        </w:rPr>
        <w:t xml:space="preserve"> of these items must be submitted at least annually or with such greater frequency as may be required by the Agency.</w:t>
      </w:r>
      <w:r w:rsidR="0028626B" w:rsidRPr="00411B94">
        <w:rPr>
          <w:sz w:val="22"/>
          <w:szCs w:val="22"/>
        </w:rPr>
        <w:t xml:space="preserve">  The Agency may adjust any and all of its compliance protocols as it deems appropriate throughout the compliance period and the extended use term covered by the Restrictive Covenant Agreement.</w:t>
      </w:r>
    </w:p>
    <w:p w:rsidR="004B7041" w:rsidRPr="00411B94" w:rsidRDefault="004B7041"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 xml:space="preserve">The Agency may review the information set forth on the certifications at any time for compliance with the Code.  On-site inspections of all Tax Credit developments will be held from time to time, at the sole discretion of the Agency, for compliance with the certification requirements, habitability standards, rent records, </w:t>
      </w:r>
      <w:r w:rsidR="00BD56BE" w:rsidRPr="00411B94">
        <w:rPr>
          <w:sz w:val="22"/>
          <w:szCs w:val="22"/>
        </w:rPr>
        <w:t xml:space="preserve">lease provisions, </w:t>
      </w:r>
      <w:r w:rsidRPr="00411B94">
        <w:rPr>
          <w:sz w:val="22"/>
          <w:szCs w:val="22"/>
        </w:rPr>
        <w:t>supporting documentation and all record keeping requirements in the low income units.  Physical inspections of all buildings and at least 20% of all low income units are performed at least once every three years.  The Agency will determine which developments and which records it will inspect and how often such inspections will be conducted in its discretion.  The Agency retains the right to perform on-site inspections at any time during the compliance period for any Tax Credit development or to conduct more frequent or more detailed site visits if the Agency deems it appropriate.</w:t>
      </w:r>
      <w:r w:rsidR="00ED7E70" w:rsidRPr="00411B94">
        <w:rPr>
          <w:sz w:val="22"/>
          <w:szCs w:val="22"/>
        </w:rPr>
        <w:t xml:space="preserve">  As referenced above, the Agency may also require submission of ongoing data from each property regarding move</w:t>
      </w:r>
      <w:r w:rsidR="0028626B" w:rsidRPr="00411B94">
        <w:rPr>
          <w:sz w:val="22"/>
          <w:szCs w:val="22"/>
        </w:rPr>
        <w:t>-</w:t>
      </w:r>
      <w:r w:rsidR="00ED7E70" w:rsidRPr="00411B94">
        <w:rPr>
          <w:sz w:val="22"/>
          <w:szCs w:val="22"/>
        </w:rPr>
        <w:t xml:space="preserve">ins and vacant units.  </w:t>
      </w:r>
    </w:p>
    <w:p w:rsidR="004B7041" w:rsidRPr="00411B94" w:rsidRDefault="004B7041"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Audited financial statements must be submitted annually to the Agency’s Compliance Monitoring Department for all properties with twenty (20) or more units.  If audited financial statements are not available, a compilation must be prepared and submitted to the Agency’s Compliance Monitoring Department. (Applications for Tax Credits in any year may be rejected from organizations or individuals who have not submitted to the Agency the audited financial statements for a Tax Credit development for the preceding tax year.)</w:t>
      </w:r>
    </w:p>
    <w:p w:rsidR="004B7041" w:rsidRPr="00411B94" w:rsidRDefault="004B7041" w:rsidP="00E94493">
      <w:pPr>
        <w:spacing w:line="240" w:lineRule="auto"/>
        <w:rPr>
          <w:sz w:val="22"/>
          <w:szCs w:val="22"/>
        </w:rPr>
      </w:pPr>
    </w:p>
    <w:p w:rsidR="005F072D" w:rsidRPr="00411B94" w:rsidRDefault="0028626B" w:rsidP="001E4B16">
      <w:pPr>
        <w:spacing w:line="240" w:lineRule="auto"/>
        <w:ind w:left="360" w:firstLine="360"/>
        <w:rPr>
          <w:sz w:val="22"/>
          <w:szCs w:val="22"/>
        </w:rPr>
      </w:pPr>
      <w:r w:rsidRPr="00411B94">
        <w:rPr>
          <w:sz w:val="22"/>
          <w:szCs w:val="22"/>
        </w:rPr>
        <w:t xml:space="preserve">As required by the </w:t>
      </w:r>
      <w:smartTag w:uri="urn:schemas-microsoft-com:office:smarttags" w:element="stockticker">
        <w:r w:rsidRPr="00411B94">
          <w:rPr>
            <w:sz w:val="22"/>
            <w:szCs w:val="22"/>
          </w:rPr>
          <w:t>IRS</w:t>
        </w:r>
      </w:smartTag>
      <w:r w:rsidRPr="00411B94">
        <w:rPr>
          <w:sz w:val="22"/>
          <w:szCs w:val="22"/>
        </w:rPr>
        <w:t>, i</w:t>
      </w:r>
      <w:r w:rsidR="005F072D" w:rsidRPr="00411B94">
        <w:rPr>
          <w:sz w:val="22"/>
          <w:szCs w:val="22"/>
        </w:rPr>
        <w:t xml:space="preserve">n the event the owner or the development does not comply with any of the provisions of the Code, the Agency will provide written notice to the owner that specifies a correction period that may not exceed </w:t>
      </w:r>
      <w:r w:rsidR="0065064F" w:rsidRPr="00411B94">
        <w:rPr>
          <w:sz w:val="22"/>
          <w:szCs w:val="22"/>
        </w:rPr>
        <w:t xml:space="preserve">90 </w:t>
      </w:r>
      <w:r w:rsidR="005F072D" w:rsidRPr="00411B94">
        <w:rPr>
          <w:sz w:val="22"/>
          <w:szCs w:val="22"/>
        </w:rPr>
        <w:t xml:space="preserve">days, unless extended by the Agency in writing.  </w:t>
      </w:r>
      <w:r w:rsidR="0065064F" w:rsidRPr="00411B94">
        <w:rPr>
          <w:sz w:val="22"/>
          <w:szCs w:val="22"/>
        </w:rPr>
        <w:t>Upon the expiration</w:t>
      </w:r>
      <w:r w:rsidR="005F072D" w:rsidRPr="00411B94">
        <w:rPr>
          <w:sz w:val="22"/>
          <w:szCs w:val="22"/>
        </w:rPr>
        <w:t xml:space="preserve"> of the correction period set forth in the written notice to the owner, the Agency must file </w:t>
      </w:r>
      <w:smartTag w:uri="urn:schemas-microsoft-com:office:smarttags" w:element="stockticker">
        <w:r w:rsidR="005F072D" w:rsidRPr="00411B94">
          <w:rPr>
            <w:sz w:val="22"/>
            <w:szCs w:val="22"/>
          </w:rPr>
          <w:t>IRS</w:t>
        </w:r>
      </w:smartTag>
      <w:r w:rsidR="005F072D" w:rsidRPr="00411B94">
        <w:rPr>
          <w:sz w:val="22"/>
          <w:szCs w:val="22"/>
        </w:rPr>
        <w:t xml:space="preserve"> Form 8823 "Low Income Housing Credit Agency Report of Noncompliance" (“</w:t>
      </w:r>
      <w:smartTag w:uri="urn:schemas-microsoft-com:office:smarttags" w:element="stockticker">
        <w:r w:rsidR="005F072D" w:rsidRPr="00411B94">
          <w:rPr>
            <w:sz w:val="22"/>
            <w:szCs w:val="22"/>
          </w:rPr>
          <w:t>IRS</w:t>
        </w:r>
      </w:smartTag>
      <w:r w:rsidR="005F072D" w:rsidRPr="00411B94">
        <w:rPr>
          <w:sz w:val="22"/>
          <w:szCs w:val="22"/>
        </w:rPr>
        <w:t xml:space="preserve"> Form 8823”) with the </w:t>
      </w:r>
      <w:smartTag w:uri="urn:schemas-microsoft-com:office:smarttags" w:element="stockticker">
        <w:r w:rsidR="005F072D" w:rsidRPr="00411B94">
          <w:rPr>
            <w:sz w:val="22"/>
            <w:szCs w:val="22"/>
          </w:rPr>
          <w:t>IRS</w:t>
        </w:r>
      </w:smartTag>
      <w:r w:rsidR="005F072D" w:rsidRPr="00411B94">
        <w:rPr>
          <w:sz w:val="22"/>
          <w:szCs w:val="22"/>
        </w:rPr>
        <w:t xml:space="preserve"> to advise the </w:t>
      </w:r>
      <w:smartTag w:uri="urn:schemas-microsoft-com:office:smarttags" w:element="stockticker">
        <w:r w:rsidR="005F072D" w:rsidRPr="00411B94">
          <w:rPr>
            <w:sz w:val="22"/>
            <w:szCs w:val="22"/>
          </w:rPr>
          <w:t>IRS</w:t>
        </w:r>
      </w:smartTag>
      <w:r w:rsidR="005F072D" w:rsidRPr="00411B94">
        <w:rPr>
          <w:sz w:val="22"/>
          <w:szCs w:val="22"/>
        </w:rPr>
        <w:t xml:space="preserve"> of the existence of an event of noncompliance with an explanation of the nature of the event and whether the owner has corrected the noncompliance.  Any change in either the applicable fraction or eligible basis resulting in a decrease in the qualified basis will be treated as an event of noncompliance.  In addition, any failure to provide required information to the Agency on a timely basis in accordance with its written request or the procedures established in Agency directives or set forth in its Compliance Program Manual may be treated as an event of noncompliance and may result in the filing of </w:t>
      </w:r>
      <w:smartTag w:uri="urn:schemas-microsoft-com:office:smarttags" w:element="stockticker">
        <w:r w:rsidR="005F072D" w:rsidRPr="00411B94">
          <w:rPr>
            <w:sz w:val="22"/>
            <w:szCs w:val="22"/>
          </w:rPr>
          <w:t>IRS</w:t>
        </w:r>
      </w:smartTag>
      <w:r w:rsidR="005F072D" w:rsidRPr="00411B94">
        <w:rPr>
          <w:sz w:val="22"/>
          <w:szCs w:val="22"/>
        </w:rPr>
        <w:t xml:space="preserve"> Form 8823.  Failure to continually meet the requirements of the use, occupancy and other conditions relevant to the operation of the development, as set forth in the Restrictive Covenant Agreement, may be treated as an event of noncompliance and may result in the filing of </w:t>
      </w:r>
      <w:smartTag w:uri="urn:schemas-microsoft-com:office:smarttags" w:element="stockticker">
        <w:r w:rsidR="005F072D" w:rsidRPr="00411B94">
          <w:rPr>
            <w:sz w:val="22"/>
            <w:szCs w:val="22"/>
          </w:rPr>
          <w:t>IRS</w:t>
        </w:r>
      </w:smartTag>
      <w:r w:rsidR="005F072D" w:rsidRPr="00411B94">
        <w:rPr>
          <w:sz w:val="22"/>
          <w:szCs w:val="22"/>
        </w:rPr>
        <w:t xml:space="preserve"> Form 8823.</w:t>
      </w:r>
    </w:p>
    <w:p w:rsidR="004B7041" w:rsidRPr="00411B94" w:rsidRDefault="004B7041" w:rsidP="00E94493">
      <w:pPr>
        <w:spacing w:line="240" w:lineRule="auto"/>
        <w:rPr>
          <w:sz w:val="22"/>
          <w:szCs w:val="22"/>
        </w:rPr>
      </w:pPr>
    </w:p>
    <w:p w:rsidR="005F072D" w:rsidRPr="00411B94" w:rsidRDefault="005F072D" w:rsidP="001E4B16">
      <w:pPr>
        <w:spacing w:line="240" w:lineRule="auto"/>
        <w:ind w:left="360" w:firstLine="360"/>
        <w:rPr>
          <w:sz w:val="22"/>
          <w:szCs w:val="22"/>
        </w:rPr>
      </w:pPr>
      <w:r w:rsidRPr="00411B94">
        <w:rPr>
          <w:sz w:val="22"/>
          <w:szCs w:val="22"/>
        </w:rPr>
        <w:t>The Agency will assess owners an upfront compliance fee designed to cover administrative expenses associated with the performance of compliance monitoring.  Additional fees may be charged, as necessary and appropriate, for any property.</w:t>
      </w:r>
    </w:p>
    <w:p w:rsidR="005D6471" w:rsidRPr="00411B94" w:rsidRDefault="005D6471" w:rsidP="001E4B16">
      <w:pPr>
        <w:spacing w:line="240" w:lineRule="auto"/>
        <w:ind w:left="360" w:firstLine="360"/>
        <w:rPr>
          <w:sz w:val="22"/>
          <w:szCs w:val="22"/>
        </w:rPr>
      </w:pPr>
    </w:p>
    <w:p w:rsidR="00A03F56" w:rsidRPr="00411B94" w:rsidRDefault="005D6471" w:rsidP="005D6471">
      <w:pPr>
        <w:spacing w:line="240" w:lineRule="auto"/>
        <w:ind w:left="360"/>
        <w:rPr>
          <w:sz w:val="22"/>
          <w:szCs w:val="22"/>
        </w:rPr>
      </w:pPr>
      <w:r w:rsidRPr="00411B94">
        <w:rPr>
          <w:sz w:val="22"/>
          <w:szCs w:val="22"/>
        </w:rPr>
        <w:tab/>
        <w:t xml:space="preserve">The Housing and Economic Recovery Act (HERA) of 2008 requires each state Credit allocating agency to provide HUD with information on the race, ethnicity, family composition, age, </w:t>
      </w:r>
      <w:proofErr w:type="gramStart"/>
      <w:r w:rsidRPr="00411B94">
        <w:rPr>
          <w:sz w:val="22"/>
          <w:szCs w:val="22"/>
        </w:rPr>
        <w:t>income</w:t>
      </w:r>
      <w:proofErr w:type="gramEnd"/>
      <w:r w:rsidRPr="00411B94">
        <w:rPr>
          <w:sz w:val="22"/>
          <w:szCs w:val="22"/>
        </w:rPr>
        <w:t>, use of federal rental assistance, disability status, and monthly rental payments of households residing in each property</w:t>
      </w:r>
      <w:r w:rsidR="00A03F56" w:rsidRPr="00411B94">
        <w:rPr>
          <w:sz w:val="22"/>
          <w:szCs w:val="22"/>
        </w:rPr>
        <w:t xml:space="preserve"> receiving Housing Credits.  All developments receiving Tax Credits must participate in this data collection effort and will be expected to provide the required information</w:t>
      </w:r>
      <w:r w:rsidR="002E5AA6" w:rsidRPr="00411B94">
        <w:rPr>
          <w:sz w:val="22"/>
          <w:szCs w:val="22"/>
        </w:rPr>
        <w:t xml:space="preserve"> in the form, manner and timeframe required by the Agency</w:t>
      </w:r>
      <w:r w:rsidR="00A03F56" w:rsidRPr="00411B94">
        <w:rPr>
          <w:sz w:val="22"/>
          <w:szCs w:val="22"/>
        </w:rPr>
        <w:t xml:space="preserve">. </w:t>
      </w:r>
    </w:p>
    <w:p w:rsidR="00AF331C" w:rsidRPr="00411B94" w:rsidRDefault="00AF331C" w:rsidP="00001EE4">
      <w:pPr>
        <w:widowControl/>
        <w:adjustRightInd/>
        <w:spacing w:line="240" w:lineRule="auto"/>
        <w:jc w:val="center"/>
        <w:textAlignment w:val="auto"/>
        <w:rPr>
          <w:b/>
          <w:i/>
          <w:sz w:val="22"/>
          <w:szCs w:val="22"/>
        </w:rPr>
      </w:pPr>
    </w:p>
    <w:p w:rsidR="00D5310D" w:rsidRPr="00411B94" w:rsidRDefault="00D5310D">
      <w:pPr>
        <w:widowControl/>
        <w:adjustRightInd/>
        <w:spacing w:line="240" w:lineRule="auto"/>
        <w:jc w:val="left"/>
        <w:textAlignment w:val="auto"/>
        <w:rPr>
          <w:b/>
          <w:i/>
          <w:sz w:val="22"/>
          <w:szCs w:val="22"/>
        </w:rPr>
      </w:pPr>
    </w:p>
    <w:p w:rsidR="00F56334" w:rsidRPr="00411B94" w:rsidRDefault="00001EE4" w:rsidP="00001EE4">
      <w:pPr>
        <w:widowControl/>
        <w:adjustRightInd/>
        <w:spacing w:line="240" w:lineRule="auto"/>
        <w:jc w:val="center"/>
        <w:textAlignment w:val="auto"/>
        <w:rPr>
          <w:b/>
          <w:i/>
          <w:sz w:val="22"/>
          <w:szCs w:val="22"/>
        </w:rPr>
      </w:pPr>
      <w:r w:rsidRPr="00411B94">
        <w:rPr>
          <w:b/>
          <w:i/>
          <w:sz w:val="22"/>
          <w:szCs w:val="22"/>
        </w:rPr>
        <w:t>EXHIBIT URBAN</w:t>
      </w:r>
    </w:p>
    <w:p w:rsidR="00F56334" w:rsidRPr="00411B94" w:rsidRDefault="00F56334" w:rsidP="00F56334">
      <w:pPr>
        <w:spacing w:line="240" w:lineRule="auto"/>
        <w:ind w:left="360"/>
        <w:rPr>
          <w:sz w:val="22"/>
          <w:szCs w:val="22"/>
        </w:rPr>
      </w:pPr>
    </w:p>
    <w:p w:rsidR="00F56334" w:rsidRPr="00411B94" w:rsidRDefault="00F56334" w:rsidP="00F56334">
      <w:pPr>
        <w:spacing w:line="240" w:lineRule="auto"/>
        <w:ind w:left="360" w:firstLine="360"/>
        <w:rPr>
          <w:sz w:val="22"/>
          <w:szCs w:val="22"/>
        </w:rPr>
      </w:pPr>
      <w:r w:rsidRPr="00411B94">
        <w:rPr>
          <w:sz w:val="22"/>
          <w:szCs w:val="22"/>
        </w:rPr>
        <w:t xml:space="preserve">The following urban areas qualify for </w:t>
      </w:r>
      <w:r w:rsidR="002D1116" w:rsidRPr="00411B94">
        <w:rPr>
          <w:sz w:val="22"/>
          <w:szCs w:val="22"/>
        </w:rPr>
        <w:t>Application</w:t>
      </w:r>
      <w:r w:rsidRPr="00411B94">
        <w:rPr>
          <w:sz w:val="22"/>
          <w:szCs w:val="22"/>
        </w:rPr>
        <w:t xml:space="preserve"> submission in </w:t>
      </w:r>
      <w:r w:rsidR="00A23B8E" w:rsidRPr="00411B94">
        <w:rPr>
          <w:sz w:val="22"/>
          <w:szCs w:val="22"/>
        </w:rPr>
        <w:t>the Urban Pool</w:t>
      </w:r>
      <w:r w:rsidRPr="00411B94">
        <w:rPr>
          <w:sz w:val="22"/>
          <w:szCs w:val="22"/>
        </w:rPr>
        <w:t xml:space="preserve"> of the </w:t>
      </w:r>
      <w:r w:rsidR="00AF1F86">
        <w:rPr>
          <w:sz w:val="22"/>
          <w:szCs w:val="22"/>
        </w:rPr>
        <w:t>2016</w:t>
      </w:r>
      <w:r w:rsidRPr="00411B94">
        <w:rPr>
          <w:sz w:val="22"/>
          <w:szCs w:val="22"/>
        </w:rPr>
        <w:t xml:space="preserve"> Program Year.</w:t>
      </w:r>
    </w:p>
    <w:p w:rsidR="00F56334" w:rsidRPr="00411B94" w:rsidRDefault="00F56334" w:rsidP="00F56334">
      <w:pPr>
        <w:spacing w:line="240" w:lineRule="auto"/>
        <w:ind w:left="360" w:firstLine="360"/>
        <w:rPr>
          <w:sz w:val="22"/>
          <w:szCs w:val="22"/>
        </w:rPr>
      </w:pPr>
    </w:p>
    <w:p w:rsidR="00F56334" w:rsidRPr="00411B94" w:rsidRDefault="00F56334" w:rsidP="00F56334">
      <w:pPr>
        <w:spacing w:after="120" w:line="240" w:lineRule="auto"/>
        <w:ind w:left="360" w:firstLine="360"/>
        <w:jc w:val="left"/>
        <w:rPr>
          <w:b/>
          <w:sz w:val="22"/>
          <w:szCs w:val="22"/>
        </w:rPr>
        <w:sectPr w:rsidR="00F56334" w:rsidRPr="00411B94" w:rsidSect="00C23CCD">
          <w:footerReference w:type="default" r:id="rId9"/>
          <w:headerReference w:type="first" r:id="rId10"/>
          <w:footerReference w:type="first" r:id="rId11"/>
          <w:pgSz w:w="12240" w:h="15840" w:code="1"/>
          <w:pgMar w:top="1008" w:right="1008" w:bottom="864" w:left="1008" w:header="0" w:footer="720" w:gutter="0"/>
          <w:pgNumType w:start="1"/>
          <w:cols w:space="720"/>
          <w:docGrid w:linePitch="272"/>
        </w:sectPr>
      </w:pPr>
    </w:p>
    <w:p w:rsidR="00F56334" w:rsidRPr="00411B94" w:rsidRDefault="00F56334" w:rsidP="00F56334">
      <w:pPr>
        <w:spacing w:after="120" w:line="240" w:lineRule="auto"/>
        <w:ind w:left="360" w:firstLine="360"/>
        <w:jc w:val="left"/>
        <w:rPr>
          <w:b/>
          <w:sz w:val="22"/>
          <w:szCs w:val="22"/>
        </w:rPr>
      </w:pPr>
      <w:r w:rsidRPr="00411B94">
        <w:rPr>
          <w:b/>
          <w:sz w:val="22"/>
          <w:szCs w:val="22"/>
        </w:rPr>
        <w:lastRenderedPageBreak/>
        <w:t>Allegheny County</w:t>
      </w:r>
    </w:p>
    <w:p w:rsidR="00F56334" w:rsidRPr="00411B94" w:rsidRDefault="00F56334" w:rsidP="00F56334">
      <w:pPr>
        <w:spacing w:after="120" w:line="240" w:lineRule="auto"/>
        <w:ind w:left="1440"/>
        <w:jc w:val="left"/>
        <w:rPr>
          <w:sz w:val="22"/>
          <w:szCs w:val="22"/>
        </w:rPr>
      </w:pPr>
      <w:r w:rsidRPr="00411B94">
        <w:rPr>
          <w:sz w:val="22"/>
          <w:szCs w:val="22"/>
        </w:rPr>
        <w:t>City of Pittsburgh</w:t>
      </w:r>
    </w:p>
    <w:p w:rsidR="00F56334" w:rsidRPr="00411B94" w:rsidRDefault="00F56334" w:rsidP="00F56334">
      <w:pPr>
        <w:spacing w:after="120" w:line="240" w:lineRule="auto"/>
        <w:ind w:left="360" w:firstLine="360"/>
        <w:jc w:val="left"/>
        <w:rPr>
          <w:b/>
          <w:sz w:val="22"/>
          <w:szCs w:val="22"/>
        </w:rPr>
      </w:pPr>
      <w:r w:rsidRPr="00411B94">
        <w:rPr>
          <w:b/>
          <w:sz w:val="22"/>
          <w:szCs w:val="22"/>
        </w:rPr>
        <w:t>Berks County</w:t>
      </w:r>
    </w:p>
    <w:p w:rsidR="00F56334" w:rsidRPr="00411B94" w:rsidRDefault="00F56334" w:rsidP="00F56334">
      <w:pPr>
        <w:spacing w:after="120" w:line="240" w:lineRule="auto"/>
        <w:ind w:left="1440" w:hanging="1080"/>
        <w:jc w:val="left"/>
        <w:rPr>
          <w:sz w:val="22"/>
          <w:szCs w:val="22"/>
        </w:rPr>
      </w:pPr>
      <w:r w:rsidRPr="00411B94">
        <w:rPr>
          <w:sz w:val="22"/>
          <w:szCs w:val="22"/>
        </w:rPr>
        <w:tab/>
        <w:t>City of Reading</w:t>
      </w:r>
    </w:p>
    <w:p w:rsidR="00F56334" w:rsidRPr="00411B94" w:rsidRDefault="00F56334" w:rsidP="00F56334">
      <w:pPr>
        <w:spacing w:after="120" w:line="240" w:lineRule="auto"/>
        <w:ind w:left="360" w:firstLine="360"/>
        <w:jc w:val="left"/>
        <w:rPr>
          <w:b/>
          <w:sz w:val="22"/>
          <w:szCs w:val="22"/>
        </w:rPr>
      </w:pPr>
      <w:r w:rsidRPr="00411B94">
        <w:rPr>
          <w:b/>
          <w:sz w:val="22"/>
          <w:szCs w:val="22"/>
        </w:rPr>
        <w:t>Blair County</w:t>
      </w:r>
    </w:p>
    <w:p w:rsidR="00F56334" w:rsidRPr="00411B94" w:rsidRDefault="00F56334" w:rsidP="00F56334">
      <w:pPr>
        <w:spacing w:after="120" w:line="240" w:lineRule="auto"/>
        <w:ind w:left="1440"/>
        <w:jc w:val="left"/>
        <w:rPr>
          <w:sz w:val="22"/>
          <w:szCs w:val="22"/>
        </w:rPr>
      </w:pPr>
      <w:r w:rsidRPr="00411B94">
        <w:rPr>
          <w:sz w:val="22"/>
          <w:szCs w:val="22"/>
        </w:rPr>
        <w:t>City of Altoona</w:t>
      </w:r>
    </w:p>
    <w:p w:rsidR="00F56334" w:rsidRPr="00411B94" w:rsidRDefault="00F56334" w:rsidP="00F56334">
      <w:pPr>
        <w:spacing w:after="120" w:line="240" w:lineRule="auto"/>
        <w:ind w:left="360" w:firstLine="360"/>
        <w:jc w:val="left"/>
        <w:rPr>
          <w:b/>
          <w:sz w:val="22"/>
          <w:szCs w:val="22"/>
        </w:rPr>
      </w:pPr>
      <w:r w:rsidRPr="00411B94">
        <w:rPr>
          <w:b/>
          <w:sz w:val="22"/>
          <w:szCs w:val="22"/>
        </w:rPr>
        <w:t>Cambria County</w:t>
      </w:r>
    </w:p>
    <w:p w:rsidR="00F56334" w:rsidRPr="00411B94" w:rsidRDefault="00F56334" w:rsidP="00F56334">
      <w:pPr>
        <w:spacing w:after="120" w:line="240" w:lineRule="auto"/>
        <w:ind w:left="1440"/>
        <w:jc w:val="left"/>
        <w:rPr>
          <w:sz w:val="22"/>
          <w:szCs w:val="22"/>
        </w:rPr>
      </w:pPr>
      <w:r w:rsidRPr="00411B94">
        <w:rPr>
          <w:sz w:val="22"/>
          <w:szCs w:val="22"/>
        </w:rPr>
        <w:t>City of Johnstown</w:t>
      </w:r>
    </w:p>
    <w:p w:rsidR="00F56334" w:rsidRPr="00411B94" w:rsidRDefault="00F56334" w:rsidP="00F56334">
      <w:pPr>
        <w:spacing w:after="120" w:line="240" w:lineRule="auto"/>
        <w:ind w:left="360" w:firstLine="360"/>
        <w:jc w:val="left"/>
        <w:rPr>
          <w:b/>
          <w:sz w:val="22"/>
          <w:szCs w:val="22"/>
        </w:rPr>
      </w:pPr>
      <w:r w:rsidRPr="00411B94">
        <w:rPr>
          <w:b/>
          <w:sz w:val="22"/>
          <w:szCs w:val="22"/>
        </w:rPr>
        <w:t>Dauphin County</w:t>
      </w:r>
    </w:p>
    <w:p w:rsidR="00F56334" w:rsidRPr="00411B94" w:rsidRDefault="00F56334" w:rsidP="00F56334">
      <w:pPr>
        <w:spacing w:after="120" w:line="240" w:lineRule="auto"/>
        <w:ind w:left="1440" w:hanging="1080"/>
        <w:jc w:val="left"/>
        <w:rPr>
          <w:sz w:val="22"/>
          <w:szCs w:val="22"/>
        </w:rPr>
      </w:pPr>
      <w:r w:rsidRPr="00411B94">
        <w:rPr>
          <w:sz w:val="22"/>
          <w:szCs w:val="22"/>
        </w:rPr>
        <w:tab/>
        <w:t xml:space="preserve">City of Harrisburg </w:t>
      </w:r>
    </w:p>
    <w:p w:rsidR="00F56334" w:rsidRPr="00411B94" w:rsidRDefault="00F56334" w:rsidP="00F56334">
      <w:pPr>
        <w:spacing w:after="120" w:line="240" w:lineRule="auto"/>
        <w:ind w:left="360" w:firstLine="360"/>
        <w:jc w:val="left"/>
        <w:rPr>
          <w:b/>
          <w:sz w:val="22"/>
          <w:szCs w:val="22"/>
        </w:rPr>
      </w:pPr>
      <w:r w:rsidRPr="00411B94">
        <w:rPr>
          <w:b/>
          <w:sz w:val="22"/>
          <w:szCs w:val="22"/>
        </w:rPr>
        <w:t>Delaware County</w:t>
      </w:r>
    </w:p>
    <w:p w:rsidR="00F56334" w:rsidRPr="00411B94" w:rsidRDefault="00F56334" w:rsidP="00F56334">
      <w:pPr>
        <w:spacing w:after="120" w:line="240" w:lineRule="auto"/>
        <w:ind w:left="1440"/>
        <w:jc w:val="left"/>
        <w:rPr>
          <w:sz w:val="22"/>
          <w:szCs w:val="22"/>
        </w:rPr>
      </w:pPr>
      <w:r w:rsidRPr="00411B94">
        <w:rPr>
          <w:sz w:val="22"/>
          <w:szCs w:val="22"/>
        </w:rPr>
        <w:t>City of Chester</w:t>
      </w:r>
    </w:p>
    <w:p w:rsidR="00F56334" w:rsidRPr="00411B94" w:rsidRDefault="00F56334" w:rsidP="00F56334">
      <w:pPr>
        <w:spacing w:after="120" w:line="240" w:lineRule="auto"/>
        <w:ind w:left="360" w:firstLine="360"/>
        <w:jc w:val="left"/>
        <w:rPr>
          <w:b/>
          <w:sz w:val="22"/>
          <w:szCs w:val="22"/>
        </w:rPr>
      </w:pPr>
      <w:r w:rsidRPr="00411B94">
        <w:rPr>
          <w:b/>
          <w:sz w:val="22"/>
          <w:szCs w:val="22"/>
        </w:rPr>
        <w:t>Erie County</w:t>
      </w:r>
    </w:p>
    <w:p w:rsidR="00F56334" w:rsidRPr="00411B94" w:rsidRDefault="00F56334" w:rsidP="00F56334">
      <w:pPr>
        <w:spacing w:after="120" w:line="240" w:lineRule="auto"/>
        <w:ind w:left="1440"/>
        <w:jc w:val="left"/>
        <w:rPr>
          <w:sz w:val="22"/>
          <w:szCs w:val="22"/>
        </w:rPr>
      </w:pPr>
      <w:r w:rsidRPr="00411B94">
        <w:rPr>
          <w:sz w:val="22"/>
          <w:szCs w:val="22"/>
        </w:rPr>
        <w:t>City of Erie</w:t>
      </w:r>
    </w:p>
    <w:p w:rsidR="00F56334" w:rsidRPr="00411B94" w:rsidRDefault="00F56334" w:rsidP="00F56334">
      <w:pPr>
        <w:spacing w:after="120" w:line="240" w:lineRule="auto"/>
        <w:ind w:left="360" w:firstLine="360"/>
        <w:jc w:val="left"/>
        <w:rPr>
          <w:b/>
          <w:sz w:val="22"/>
          <w:szCs w:val="22"/>
        </w:rPr>
      </w:pPr>
      <w:r w:rsidRPr="00411B94">
        <w:rPr>
          <w:b/>
          <w:sz w:val="22"/>
          <w:szCs w:val="22"/>
        </w:rPr>
        <w:t>Lackawanna County</w:t>
      </w:r>
    </w:p>
    <w:p w:rsidR="00F56334" w:rsidRPr="00411B94" w:rsidRDefault="00F56334" w:rsidP="00F56334">
      <w:pPr>
        <w:spacing w:after="120" w:line="240" w:lineRule="auto"/>
        <w:ind w:left="1440"/>
        <w:jc w:val="left"/>
        <w:rPr>
          <w:sz w:val="22"/>
          <w:szCs w:val="22"/>
        </w:rPr>
      </w:pPr>
      <w:r w:rsidRPr="00411B94">
        <w:rPr>
          <w:sz w:val="22"/>
          <w:szCs w:val="22"/>
        </w:rPr>
        <w:t>City of Scranton</w:t>
      </w:r>
    </w:p>
    <w:p w:rsidR="00F56334" w:rsidRPr="00411B94" w:rsidRDefault="00F56334" w:rsidP="00F56334">
      <w:pPr>
        <w:spacing w:after="120" w:line="240" w:lineRule="auto"/>
        <w:ind w:left="360" w:firstLine="360"/>
        <w:jc w:val="left"/>
        <w:rPr>
          <w:b/>
          <w:sz w:val="22"/>
          <w:szCs w:val="22"/>
        </w:rPr>
      </w:pPr>
      <w:r w:rsidRPr="00411B94">
        <w:rPr>
          <w:b/>
          <w:sz w:val="22"/>
          <w:szCs w:val="22"/>
        </w:rPr>
        <w:t>Lancaster County</w:t>
      </w:r>
    </w:p>
    <w:p w:rsidR="00F56334" w:rsidRPr="00411B94" w:rsidRDefault="00F56334" w:rsidP="00F56334">
      <w:pPr>
        <w:spacing w:after="120" w:line="240" w:lineRule="auto"/>
        <w:ind w:left="1440"/>
        <w:jc w:val="left"/>
        <w:rPr>
          <w:sz w:val="22"/>
          <w:szCs w:val="22"/>
        </w:rPr>
      </w:pPr>
      <w:r w:rsidRPr="00411B94">
        <w:rPr>
          <w:sz w:val="22"/>
          <w:szCs w:val="22"/>
        </w:rPr>
        <w:t>City of Lancaster</w:t>
      </w:r>
    </w:p>
    <w:p w:rsidR="00F56334" w:rsidRPr="00411B94" w:rsidRDefault="00F56334" w:rsidP="00F56334">
      <w:pPr>
        <w:spacing w:after="120" w:line="240" w:lineRule="auto"/>
        <w:ind w:left="360" w:firstLine="360"/>
        <w:jc w:val="left"/>
        <w:rPr>
          <w:b/>
          <w:sz w:val="22"/>
          <w:szCs w:val="22"/>
        </w:rPr>
      </w:pPr>
      <w:r w:rsidRPr="00411B94">
        <w:rPr>
          <w:b/>
          <w:sz w:val="22"/>
          <w:szCs w:val="22"/>
        </w:rPr>
        <w:t>Lawrence County</w:t>
      </w:r>
    </w:p>
    <w:p w:rsidR="00F56334" w:rsidRPr="00411B94" w:rsidRDefault="00F56334" w:rsidP="00F56334">
      <w:pPr>
        <w:spacing w:after="120" w:line="240" w:lineRule="auto"/>
        <w:ind w:left="1440"/>
        <w:jc w:val="left"/>
        <w:rPr>
          <w:sz w:val="22"/>
          <w:szCs w:val="22"/>
        </w:rPr>
      </w:pPr>
      <w:r w:rsidRPr="00411B94">
        <w:rPr>
          <w:sz w:val="22"/>
          <w:szCs w:val="22"/>
        </w:rPr>
        <w:t>City of New Castle</w:t>
      </w:r>
    </w:p>
    <w:p w:rsidR="00F56334" w:rsidRPr="00411B94" w:rsidRDefault="00F56334" w:rsidP="00F56334">
      <w:pPr>
        <w:spacing w:after="120" w:line="240" w:lineRule="auto"/>
        <w:ind w:left="360" w:firstLine="360"/>
        <w:jc w:val="left"/>
        <w:rPr>
          <w:b/>
          <w:sz w:val="22"/>
          <w:szCs w:val="22"/>
        </w:rPr>
      </w:pPr>
      <w:r w:rsidRPr="00411B94">
        <w:rPr>
          <w:b/>
          <w:sz w:val="22"/>
          <w:szCs w:val="22"/>
        </w:rPr>
        <w:t>Lebanon County</w:t>
      </w:r>
    </w:p>
    <w:p w:rsidR="00F56334" w:rsidRPr="00411B94" w:rsidRDefault="00F56334" w:rsidP="00F56334">
      <w:pPr>
        <w:spacing w:after="120" w:line="240" w:lineRule="auto"/>
        <w:ind w:left="1440"/>
        <w:jc w:val="left"/>
        <w:rPr>
          <w:sz w:val="22"/>
          <w:szCs w:val="22"/>
        </w:rPr>
      </w:pPr>
      <w:r w:rsidRPr="00411B94">
        <w:rPr>
          <w:sz w:val="22"/>
          <w:szCs w:val="22"/>
        </w:rPr>
        <w:t>City of Lebanon</w:t>
      </w:r>
    </w:p>
    <w:p w:rsidR="00F56334" w:rsidRPr="00411B94" w:rsidRDefault="00F56334" w:rsidP="00F56334">
      <w:pPr>
        <w:spacing w:after="120" w:line="240" w:lineRule="auto"/>
        <w:ind w:left="360" w:firstLine="360"/>
        <w:jc w:val="left"/>
        <w:rPr>
          <w:b/>
          <w:sz w:val="22"/>
          <w:szCs w:val="22"/>
        </w:rPr>
      </w:pPr>
      <w:r w:rsidRPr="00411B94">
        <w:rPr>
          <w:b/>
          <w:sz w:val="22"/>
          <w:szCs w:val="22"/>
        </w:rPr>
        <w:t>Lehigh County</w:t>
      </w:r>
    </w:p>
    <w:p w:rsidR="00F56334" w:rsidRPr="00411B94" w:rsidRDefault="00F56334" w:rsidP="00F56334">
      <w:pPr>
        <w:spacing w:after="120" w:line="240" w:lineRule="auto"/>
        <w:ind w:left="1440"/>
        <w:jc w:val="left"/>
        <w:rPr>
          <w:sz w:val="22"/>
          <w:szCs w:val="22"/>
        </w:rPr>
      </w:pPr>
      <w:r w:rsidRPr="00411B94">
        <w:rPr>
          <w:sz w:val="22"/>
          <w:szCs w:val="22"/>
        </w:rPr>
        <w:t>City of Allentown</w:t>
      </w:r>
    </w:p>
    <w:p w:rsidR="004F5CB0" w:rsidRPr="00411B94" w:rsidRDefault="004F5CB0" w:rsidP="00F56334">
      <w:pPr>
        <w:spacing w:after="120" w:line="240" w:lineRule="auto"/>
        <w:ind w:left="1440"/>
        <w:jc w:val="left"/>
        <w:rPr>
          <w:sz w:val="22"/>
          <w:szCs w:val="22"/>
        </w:rPr>
      </w:pPr>
      <w:r w:rsidRPr="00411B94">
        <w:rPr>
          <w:sz w:val="22"/>
          <w:szCs w:val="22"/>
        </w:rPr>
        <w:t>City of Bethlehem</w:t>
      </w:r>
    </w:p>
    <w:p w:rsidR="00F56334" w:rsidRPr="00411B94" w:rsidRDefault="00F56334" w:rsidP="00F56334">
      <w:pPr>
        <w:spacing w:after="120" w:line="240" w:lineRule="auto"/>
        <w:ind w:left="360" w:firstLine="360"/>
        <w:jc w:val="left"/>
        <w:rPr>
          <w:b/>
          <w:sz w:val="22"/>
          <w:szCs w:val="22"/>
        </w:rPr>
      </w:pPr>
      <w:r w:rsidRPr="00411B94">
        <w:rPr>
          <w:b/>
          <w:sz w:val="22"/>
          <w:szCs w:val="22"/>
        </w:rPr>
        <w:t>Luzerne County</w:t>
      </w:r>
    </w:p>
    <w:p w:rsidR="00F56334" w:rsidRPr="00411B94" w:rsidRDefault="00F56334" w:rsidP="00F56334">
      <w:pPr>
        <w:spacing w:after="120" w:line="240" w:lineRule="auto"/>
        <w:ind w:left="1440"/>
        <w:jc w:val="left"/>
        <w:rPr>
          <w:sz w:val="22"/>
          <w:szCs w:val="22"/>
        </w:rPr>
      </w:pPr>
      <w:r w:rsidRPr="00411B94">
        <w:rPr>
          <w:sz w:val="22"/>
          <w:szCs w:val="22"/>
        </w:rPr>
        <w:t>City of Hazelton</w:t>
      </w:r>
    </w:p>
    <w:p w:rsidR="00F56334" w:rsidRPr="00411B94" w:rsidRDefault="00F56334" w:rsidP="00F56334">
      <w:pPr>
        <w:spacing w:after="120" w:line="240" w:lineRule="auto"/>
        <w:ind w:left="1440"/>
        <w:jc w:val="left"/>
        <w:rPr>
          <w:sz w:val="22"/>
          <w:szCs w:val="22"/>
        </w:rPr>
      </w:pPr>
      <w:r w:rsidRPr="00411B94">
        <w:rPr>
          <w:sz w:val="22"/>
          <w:szCs w:val="22"/>
        </w:rPr>
        <w:t>City of Wilkes-Barre</w:t>
      </w:r>
    </w:p>
    <w:p w:rsidR="00F56334" w:rsidRPr="00411B94" w:rsidRDefault="00F56334" w:rsidP="00F56334">
      <w:pPr>
        <w:spacing w:after="120" w:line="240" w:lineRule="auto"/>
        <w:ind w:left="360" w:firstLine="360"/>
        <w:jc w:val="left"/>
        <w:rPr>
          <w:b/>
          <w:sz w:val="22"/>
          <w:szCs w:val="22"/>
        </w:rPr>
      </w:pPr>
      <w:r w:rsidRPr="00411B94">
        <w:rPr>
          <w:b/>
          <w:sz w:val="22"/>
          <w:szCs w:val="22"/>
        </w:rPr>
        <w:t>Lycoming County</w:t>
      </w:r>
    </w:p>
    <w:p w:rsidR="00F56334" w:rsidRPr="00411B94" w:rsidRDefault="00F56334" w:rsidP="00F56334">
      <w:pPr>
        <w:spacing w:after="120" w:line="240" w:lineRule="auto"/>
        <w:ind w:left="1440"/>
        <w:jc w:val="left"/>
        <w:rPr>
          <w:sz w:val="22"/>
          <w:szCs w:val="22"/>
        </w:rPr>
      </w:pPr>
      <w:r w:rsidRPr="00411B94">
        <w:rPr>
          <w:sz w:val="22"/>
          <w:szCs w:val="22"/>
        </w:rPr>
        <w:t>City of Williamsport</w:t>
      </w:r>
    </w:p>
    <w:p w:rsidR="00F56334" w:rsidRPr="00411B94" w:rsidRDefault="00F56334" w:rsidP="00F56334">
      <w:pPr>
        <w:spacing w:after="120" w:line="240" w:lineRule="auto"/>
        <w:ind w:left="360" w:firstLine="360"/>
        <w:jc w:val="left"/>
        <w:rPr>
          <w:b/>
          <w:sz w:val="22"/>
          <w:szCs w:val="22"/>
        </w:rPr>
      </w:pPr>
      <w:r w:rsidRPr="00411B94">
        <w:rPr>
          <w:b/>
          <w:sz w:val="22"/>
          <w:szCs w:val="22"/>
        </w:rPr>
        <w:t>Northampton County</w:t>
      </w:r>
    </w:p>
    <w:p w:rsidR="00F56334" w:rsidRPr="00411B94" w:rsidRDefault="00F56334" w:rsidP="00F56334">
      <w:pPr>
        <w:spacing w:after="120" w:line="240" w:lineRule="auto"/>
        <w:ind w:left="1440"/>
        <w:jc w:val="left"/>
        <w:rPr>
          <w:sz w:val="22"/>
          <w:szCs w:val="22"/>
        </w:rPr>
      </w:pPr>
      <w:r w:rsidRPr="00411B94">
        <w:rPr>
          <w:sz w:val="22"/>
          <w:szCs w:val="22"/>
        </w:rPr>
        <w:t>City of Bethlehem</w:t>
      </w:r>
    </w:p>
    <w:p w:rsidR="00F56334" w:rsidRPr="00411B94" w:rsidRDefault="00F56334" w:rsidP="00F56334">
      <w:pPr>
        <w:spacing w:after="120" w:line="240" w:lineRule="auto"/>
        <w:ind w:left="1440"/>
        <w:jc w:val="left"/>
        <w:rPr>
          <w:sz w:val="22"/>
          <w:szCs w:val="22"/>
        </w:rPr>
      </w:pPr>
      <w:r w:rsidRPr="00411B94">
        <w:rPr>
          <w:sz w:val="22"/>
          <w:szCs w:val="22"/>
        </w:rPr>
        <w:t>City of Easton</w:t>
      </w:r>
    </w:p>
    <w:p w:rsidR="00843095" w:rsidRPr="00411B94" w:rsidRDefault="00843095" w:rsidP="00F56334">
      <w:pPr>
        <w:spacing w:after="120" w:line="240" w:lineRule="auto"/>
        <w:ind w:left="1440"/>
        <w:jc w:val="left"/>
        <w:rPr>
          <w:sz w:val="22"/>
          <w:szCs w:val="22"/>
        </w:rPr>
      </w:pPr>
    </w:p>
    <w:p w:rsidR="00F56334" w:rsidRPr="00411B94" w:rsidRDefault="00F56334" w:rsidP="00F56334">
      <w:pPr>
        <w:spacing w:after="120" w:line="240" w:lineRule="auto"/>
        <w:ind w:left="360" w:firstLine="360"/>
        <w:jc w:val="left"/>
        <w:rPr>
          <w:b/>
          <w:sz w:val="22"/>
          <w:szCs w:val="22"/>
        </w:rPr>
      </w:pPr>
      <w:r w:rsidRPr="00411B94">
        <w:rPr>
          <w:b/>
          <w:sz w:val="22"/>
          <w:szCs w:val="22"/>
        </w:rPr>
        <w:t>Philadelphia County</w:t>
      </w:r>
    </w:p>
    <w:p w:rsidR="00F56334" w:rsidRPr="00411B94" w:rsidRDefault="00F56334" w:rsidP="00F56334">
      <w:pPr>
        <w:spacing w:after="120" w:line="240" w:lineRule="auto"/>
        <w:ind w:left="1440"/>
        <w:jc w:val="left"/>
        <w:rPr>
          <w:sz w:val="22"/>
          <w:szCs w:val="22"/>
        </w:rPr>
      </w:pPr>
      <w:r w:rsidRPr="00411B94">
        <w:rPr>
          <w:sz w:val="22"/>
          <w:szCs w:val="22"/>
        </w:rPr>
        <w:t>City of Philadelphia</w:t>
      </w:r>
    </w:p>
    <w:p w:rsidR="00F56334" w:rsidRPr="00411B94" w:rsidRDefault="00F56334" w:rsidP="00F56334">
      <w:pPr>
        <w:spacing w:after="120" w:line="240" w:lineRule="auto"/>
        <w:ind w:left="360" w:firstLine="360"/>
        <w:jc w:val="left"/>
        <w:rPr>
          <w:b/>
          <w:sz w:val="22"/>
          <w:szCs w:val="22"/>
        </w:rPr>
      </w:pPr>
      <w:r w:rsidRPr="00411B94">
        <w:rPr>
          <w:b/>
          <w:sz w:val="22"/>
          <w:szCs w:val="22"/>
        </w:rPr>
        <w:t>York County</w:t>
      </w:r>
    </w:p>
    <w:p w:rsidR="00F56334" w:rsidRPr="00411B94" w:rsidRDefault="00F56334" w:rsidP="00F56334">
      <w:pPr>
        <w:spacing w:after="120" w:line="240" w:lineRule="auto"/>
        <w:ind w:left="1440"/>
        <w:jc w:val="left"/>
        <w:rPr>
          <w:sz w:val="22"/>
          <w:szCs w:val="22"/>
        </w:rPr>
      </w:pPr>
      <w:r w:rsidRPr="00411B94">
        <w:rPr>
          <w:sz w:val="22"/>
          <w:szCs w:val="22"/>
        </w:rPr>
        <w:t>City of York</w:t>
      </w:r>
    </w:p>
    <w:p w:rsidR="00BC7EB5" w:rsidRPr="00411B94" w:rsidRDefault="00BC7EB5" w:rsidP="00901E6D">
      <w:pPr>
        <w:spacing w:after="120" w:line="240" w:lineRule="auto"/>
        <w:jc w:val="left"/>
        <w:rPr>
          <w:sz w:val="22"/>
          <w:szCs w:val="22"/>
        </w:rPr>
        <w:sectPr w:rsidR="00BC7EB5" w:rsidRPr="00411B94" w:rsidSect="00C23CCD">
          <w:type w:val="continuous"/>
          <w:pgSz w:w="12240" w:h="15840" w:code="1"/>
          <w:pgMar w:top="1008" w:right="1440" w:bottom="1008" w:left="1440" w:header="720" w:footer="720" w:gutter="0"/>
          <w:pgNumType w:start="3"/>
          <w:cols w:num="2" w:space="720"/>
        </w:sectPr>
      </w:pPr>
    </w:p>
    <w:p w:rsidR="00932819" w:rsidRPr="00411B94" w:rsidRDefault="00932819">
      <w:pPr>
        <w:spacing w:line="240" w:lineRule="auto"/>
        <w:rPr>
          <w:b/>
          <w:sz w:val="22"/>
          <w:szCs w:val="22"/>
        </w:rPr>
      </w:pPr>
    </w:p>
    <w:p w:rsidR="00581643" w:rsidRPr="00411B94" w:rsidRDefault="00581643" w:rsidP="00E94493">
      <w:pPr>
        <w:spacing w:line="240" w:lineRule="auto"/>
        <w:jc w:val="center"/>
        <w:rPr>
          <w:b/>
          <w:sz w:val="22"/>
          <w:szCs w:val="22"/>
        </w:rPr>
      </w:pPr>
    </w:p>
    <w:p w:rsidR="00581643" w:rsidRPr="00411B94" w:rsidRDefault="0029499B" w:rsidP="00E94493">
      <w:pPr>
        <w:spacing w:line="240" w:lineRule="auto"/>
        <w:jc w:val="center"/>
        <w:rPr>
          <w:b/>
          <w:sz w:val="22"/>
          <w:szCs w:val="22"/>
        </w:rPr>
      </w:pPr>
      <w:r>
        <w:rPr>
          <w:b/>
          <w:sz w:val="22"/>
          <w:szCs w:val="22"/>
        </w:rPr>
        <w:t>Exhibit SC2016</w:t>
      </w:r>
    </w:p>
    <w:p w:rsidR="000E5527" w:rsidRPr="00411B94" w:rsidRDefault="000E5527" w:rsidP="00E94493">
      <w:pPr>
        <w:spacing w:line="240" w:lineRule="auto"/>
        <w:jc w:val="center"/>
        <w:rPr>
          <w:b/>
          <w:sz w:val="22"/>
          <w:szCs w:val="22"/>
        </w:rPr>
      </w:pPr>
      <w:r w:rsidRPr="00411B94">
        <w:rPr>
          <w:b/>
          <w:sz w:val="22"/>
          <w:szCs w:val="22"/>
        </w:rPr>
        <w:t>Selection Criteria</w:t>
      </w:r>
    </w:p>
    <w:p w:rsidR="00105B45" w:rsidRPr="00411B94" w:rsidRDefault="00105B45" w:rsidP="00E94493">
      <w:pPr>
        <w:spacing w:line="240" w:lineRule="auto"/>
        <w:jc w:val="center"/>
        <w:rPr>
          <w:b/>
          <w:sz w:val="22"/>
          <w:szCs w:val="22"/>
        </w:rPr>
      </w:pPr>
    </w:p>
    <w:p w:rsidR="00105B45" w:rsidRPr="00411B94" w:rsidRDefault="00105B45" w:rsidP="00E94493">
      <w:pPr>
        <w:spacing w:line="240" w:lineRule="auto"/>
        <w:jc w:val="center"/>
        <w:rPr>
          <w:b/>
          <w:sz w:val="22"/>
          <w:szCs w:val="22"/>
        </w:rPr>
      </w:pPr>
    </w:p>
    <w:tbl>
      <w:tblPr>
        <w:tblW w:w="0" w:type="auto"/>
        <w:tblBorders>
          <w:insideH w:val="single" w:sz="4" w:space="0" w:color="auto"/>
        </w:tblBorders>
        <w:tblLayout w:type="fixed"/>
        <w:tblLook w:val="0000" w:firstRow="0" w:lastRow="0" w:firstColumn="0" w:lastColumn="0" w:noHBand="0" w:noVBand="0"/>
      </w:tblPr>
      <w:tblGrid>
        <w:gridCol w:w="6588"/>
        <w:gridCol w:w="2268"/>
      </w:tblGrid>
      <w:tr w:rsidR="000E5527" w:rsidRPr="00411B94">
        <w:tc>
          <w:tcPr>
            <w:tcW w:w="6588" w:type="dxa"/>
          </w:tcPr>
          <w:p w:rsidR="000E5527" w:rsidRPr="00411B94" w:rsidRDefault="000E5527" w:rsidP="00E94493">
            <w:pPr>
              <w:pStyle w:val="Header"/>
              <w:tabs>
                <w:tab w:val="clear" w:pos="4320"/>
                <w:tab w:val="clear" w:pos="8640"/>
              </w:tabs>
              <w:spacing w:after="240" w:line="240" w:lineRule="auto"/>
              <w:rPr>
                <w:b/>
                <w:sz w:val="22"/>
                <w:szCs w:val="22"/>
                <w:u w:color="FF0000"/>
              </w:rPr>
            </w:pPr>
            <w:r w:rsidRPr="00411B94">
              <w:rPr>
                <w:b/>
                <w:sz w:val="22"/>
                <w:szCs w:val="22"/>
                <w:u w:color="FF0000"/>
              </w:rPr>
              <w:t xml:space="preserve">A.  </w:t>
            </w:r>
            <w:r w:rsidR="008A27FA" w:rsidRPr="00411B94">
              <w:rPr>
                <w:b/>
                <w:sz w:val="22"/>
                <w:szCs w:val="22"/>
                <w:u w:color="FF0000"/>
              </w:rPr>
              <w:t>Community and Economic Impact</w:t>
            </w:r>
          </w:p>
        </w:tc>
        <w:tc>
          <w:tcPr>
            <w:tcW w:w="2268" w:type="dxa"/>
          </w:tcPr>
          <w:p w:rsidR="000E5527" w:rsidRPr="00411B94" w:rsidRDefault="00FA7DA4" w:rsidP="00E94493">
            <w:pPr>
              <w:pStyle w:val="Header"/>
              <w:tabs>
                <w:tab w:val="clear" w:pos="4320"/>
                <w:tab w:val="clear" w:pos="8640"/>
              </w:tabs>
              <w:spacing w:line="240" w:lineRule="auto"/>
              <w:jc w:val="right"/>
              <w:rPr>
                <w:i/>
                <w:sz w:val="22"/>
                <w:szCs w:val="22"/>
              </w:rPr>
            </w:pPr>
            <w:r w:rsidRPr="00411B94">
              <w:rPr>
                <w:i/>
                <w:sz w:val="22"/>
                <w:szCs w:val="22"/>
              </w:rPr>
              <w:t xml:space="preserve">30 </w:t>
            </w:r>
            <w:r w:rsidR="000E5527" w:rsidRPr="00411B94">
              <w:rPr>
                <w:i/>
                <w:sz w:val="22"/>
                <w:szCs w:val="22"/>
              </w:rPr>
              <w:t>points</w:t>
            </w:r>
          </w:p>
        </w:tc>
      </w:tr>
    </w:tbl>
    <w:p w:rsidR="00486D85" w:rsidRPr="00411B94" w:rsidRDefault="00486D85" w:rsidP="001E4B16">
      <w:pPr>
        <w:spacing w:after="240" w:line="240" w:lineRule="auto"/>
        <w:ind w:left="360" w:firstLine="360"/>
        <w:rPr>
          <w:sz w:val="22"/>
          <w:szCs w:val="22"/>
          <w:u w:color="FF0000"/>
        </w:rPr>
      </w:pPr>
      <w:r w:rsidRPr="00411B94">
        <w:rPr>
          <w:sz w:val="22"/>
          <w:szCs w:val="22"/>
          <w:u w:color="FF0000"/>
        </w:rPr>
        <w:t xml:space="preserve">It is the goal of the Agency to encourage affordable housing in areas with job opportunities; in areas near strong and </w:t>
      </w:r>
      <w:r w:rsidR="002E5AA6" w:rsidRPr="00411B94">
        <w:rPr>
          <w:sz w:val="22"/>
          <w:szCs w:val="22"/>
          <w:u w:color="FF0000"/>
        </w:rPr>
        <w:t xml:space="preserve">stable </w:t>
      </w:r>
      <w:r w:rsidRPr="00411B94">
        <w:rPr>
          <w:sz w:val="22"/>
          <w:szCs w:val="22"/>
          <w:u w:color="FF0000"/>
        </w:rPr>
        <w:t xml:space="preserve">communities and in areas which demonstrate the capacity for community revitalization opportunities.  </w:t>
      </w:r>
      <w:r w:rsidR="00867579" w:rsidRPr="00411B94">
        <w:rPr>
          <w:sz w:val="22"/>
          <w:szCs w:val="22"/>
          <w:u w:color="FF0000"/>
        </w:rPr>
        <w:t xml:space="preserve">The Market Study /Needs Assessment must identify the criteria set forth in the Community and Economic Impact Selection Criteria for ranking consideration in this category.  </w:t>
      </w:r>
      <w:r w:rsidRPr="00411B94">
        <w:rPr>
          <w:sz w:val="22"/>
          <w:szCs w:val="22"/>
          <w:u w:color="FF0000"/>
        </w:rPr>
        <w:t xml:space="preserve">To that end, up </w:t>
      </w:r>
      <w:r w:rsidR="005A61D5" w:rsidRPr="00411B94">
        <w:rPr>
          <w:sz w:val="22"/>
          <w:szCs w:val="22"/>
          <w:u w:color="FF0000"/>
        </w:rPr>
        <w:t xml:space="preserve">to </w:t>
      </w:r>
      <w:r w:rsidR="00C426D4" w:rsidRPr="00411B94">
        <w:rPr>
          <w:sz w:val="22"/>
          <w:szCs w:val="22"/>
          <w:u w:color="FF0000"/>
        </w:rPr>
        <w:t xml:space="preserve">30 </w:t>
      </w:r>
      <w:r w:rsidRPr="00411B94">
        <w:rPr>
          <w:sz w:val="22"/>
          <w:szCs w:val="22"/>
          <w:u w:color="FF0000"/>
        </w:rPr>
        <w:t xml:space="preserve">points </w:t>
      </w:r>
      <w:r w:rsidR="00C6352F" w:rsidRPr="00411B94">
        <w:rPr>
          <w:sz w:val="22"/>
          <w:szCs w:val="22"/>
          <w:u w:color="FF0000"/>
        </w:rPr>
        <w:t xml:space="preserve">may </w:t>
      </w:r>
      <w:r w:rsidRPr="00411B94">
        <w:rPr>
          <w:sz w:val="22"/>
          <w:szCs w:val="22"/>
          <w:u w:color="FF0000"/>
        </w:rPr>
        <w:t>be awarded to developments located in areas that demonstrate the following relative to the immediate market area:</w:t>
      </w:r>
    </w:p>
    <w:p w:rsidR="00196921" w:rsidRPr="00411B94" w:rsidRDefault="00802FCB" w:rsidP="00802FCB">
      <w:pPr>
        <w:spacing w:after="240" w:line="240" w:lineRule="auto"/>
        <w:ind w:left="360"/>
        <w:rPr>
          <w:sz w:val="22"/>
          <w:szCs w:val="22"/>
          <w:u w:color="FF0000"/>
        </w:rPr>
      </w:pPr>
      <w:r w:rsidRPr="00411B94">
        <w:rPr>
          <w:sz w:val="22"/>
          <w:szCs w:val="22"/>
          <w:u w:color="FF0000"/>
        </w:rPr>
        <w:t>1.</w:t>
      </w:r>
      <w:r w:rsidRPr="00411B94">
        <w:rPr>
          <w:sz w:val="22"/>
          <w:szCs w:val="22"/>
          <w:u w:color="FF0000"/>
        </w:rPr>
        <w:tab/>
      </w:r>
      <w:r w:rsidR="00196921" w:rsidRPr="00411B94">
        <w:rPr>
          <w:sz w:val="22"/>
          <w:szCs w:val="22"/>
          <w:u w:val="single"/>
        </w:rPr>
        <w:t>Underserved Areas</w:t>
      </w:r>
      <w:r w:rsidR="00C426D4" w:rsidRPr="00411B94">
        <w:rPr>
          <w:sz w:val="22"/>
          <w:szCs w:val="22"/>
          <w:u w:val="single"/>
        </w:rPr>
        <w:t xml:space="preserve"> – up to </w:t>
      </w:r>
      <w:r w:rsidR="003E7319">
        <w:rPr>
          <w:sz w:val="22"/>
          <w:szCs w:val="22"/>
          <w:u w:val="single"/>
        </w:rPr>
        <w:t>twenty (</w:t>
      </w:r>
      <w:r w:rsidR="00C426D4" w:rsidRPr="00411B94">
        <w:rPr>
          <w:sz w:val="22"/>
          <w:szCs w:val="22"/>
          <w:u w:val="single"/>
        </w:rPr>
        <w:t>20</w:t>
      </w:r>
      <w:proofErr w:type="gramStart"/>
      <w:r w:rsidR="003E7319">
        <w:rPr>
          <w:sz w:val="22"/>
          <w:szCs w:val="22"/>
          <w:u w:val="single"/>
        </w:rPr>
        <w:t xml:space="preserve">) </w:t>
      </w:r>
      <w:r w:rsidR="00C426D4" w:rsidRPr="00411B94">
        <w:rPr>
          <w:sz w:val="22"/>
          <w:szCs w:val="22"/>
          <w:u w:val="single"/>
        </w:rPr>
        <w:t xml:space="preserve"> points</w:t>
      </w:r>
      <w:proofErr w:type="gramEnd"/>
    </w:p>
    <w:p w:rsidR="001E23AF" w:rsidRPr="00411B94" w:rsidRDefault="00196921" w:rsidP="00196921">
      <w:pPr>
        <w:spacing w:after="240" w:line="240" w:lineRule="auto"/>
        <w:ind w:left="720"/>
        <w:rPr>
          <w:sz w:val="22"/>
          <w:szCs w:val="22"/>
          <w:u w:color="FF0000"/>
        </w:rPr>
      </w:pPr>
      <w:proofErr w:type="gramStart"/>
      <w:r w:rsidRPr="00411B94">
        <w:rPr>
          <w:sz w:val="22"/>
          <w:szCs w:val="22"/>
          <w:u w:color="FF0000"/>
        </w:rPr>
        <w:t>a</w:t>
      </w:r>
      <w:proofErr w:type="gramEnd"/>
      <w:r w:rsidRPr="00411B94">
        <w:rPr>
          <w:sz w:val="22"/>
          <w:szCs w:val="22"/>
          <w:u w:color="FF0000"/>
        </w:rPr>
        <w:t>.</w:t>
      </w:r>
      <w:r w:rsidRPr="00411B94">
        <w:rPr>
          <w:sz w:val="22"/>
          <w:szCs w:val="22"/>
          <w:u w:color="FF0000"/>
        </w:rPr>
        <w:tab/>
      </w:r>
      <w:r w:rsidR="00F94B7E">
        <w:rPr>
          <w:sz w:val="22"/>
          <w:szCs w:val="22"/>
          <w:u w:color="FF0000"/>
        </w:rPr>
        <w:t xml:space="preserve">General Occupancy - </w:t>
      </w:r>
      <w:r w:rsidR="00C01FD5" w:rsidRPr="00411B94">
        <w:rPr>
          <w:sz w:val="22"/>
          <w:szCs w:val="22"/>
          <w:u w:color="FF0000"/>
        </w:rPr>
        <w:t>Areas of Opportunity</w:t>
      </w:r>
      <w:r w:rsidR="00923146" w:rsidRPr="00411B94">
        <w:rPr>
          <w:sz w:val="22"/>
          <w:szCs w:val="22"/>
          <w:u w:color="FF0000"/>
        </w:rPr>
        <w:t xml:space="preserve"> </w:t>
      </w:r>
      <w:r w:rsidR="006A0F14" w:rsidRPr="00411B94">
        <w:rPr>
          <w:sz w:val="22"/>
          <w:szCs w:val="22"/>
        </w:rPr>
        <w:t>–</w:t>
      </w:r>
      <w:r w:rsidR="00F94B7E">
        <w:rPr>
          <w:sz w:val="22"/>
          <w:szCs w:val="22"/>
        </w:rPr>
        <w:t xml:space="preserve"> up to eighteen (18) points</w:t>
      </w:r>
    </w:p>
    <w:p w:rsidR="008A27FA" w:rsidRPr="00411B94" w:rsidRDefault="002332D6" w:rsidP="00F86345">
      <w:pPr>
        <w:numPr>
          <w:ilvl w:val="0"/>
          <w:numId w:val="28"/>
        </w:numPr>
        <w:spacing w:line="240" w:lineRule="auto"/>
        <w:rPr>
          <w:sz w:val="22"/>
          <w:szCs w:val="22"/>
          <w:u w:color="FF0000"/>
        </w:rPr>
      </w:pPr>
      <w:r w:rsidRPr="00411B94">
        <w:rPr>
          <w:sz w:val="22"/>
          <w:szCs w:val="22"/>
          <w:u w:color="FF0000"/>
        </w:rPr>
        <w:t>L</w:t>
      </w:r>
      <w:r w:rsidR="008A27FA" w:rsidRPr="00411B94">
        <w:rPr>
          <w:sz w:val="22"/>
          <w:szCs w:val="22"/>
          <w:u w:color="FF0000"/>
        </w:rPr>
        <w:t>ow poverty rates</w:t>
      </w:r>
    </w:p>
    <w:p w:rsidR="008A27FA" w:rsidRPr="00411B94" w:rsidRDefault="002332D6" w:rsidP="002332D6">
      <w:pPr>
        <w:numPr>
          <w:ilvl w:val="0"/>
          <w:numId w:val="28"/>
        </w:numPr>
        <w:spacing w:line="240" w:lineRule="auto"/>
        <w:rPr>
          <w:sz w:val="22"/>
          <w:szCs w:val="22"/>
          <w:u w:color="FF0000"/>
        </w:rPr>
      </w:pPr>
      <w:r w:rsidRPr="00411B94">
        <w:rPr>
          <w:sz w:val="22"/>
          <w:szCs w:val="22"/>
          <w:u w:color="FF0000"/>
        </w:rPr>
        <w:t>L</w:t>
      </w:r>
      <w:r w:rsidR="008A27FA" w:rsidRPr="00411B94">
        <w:rPr>
          <w:sz w:val="22"/>
          <w:szCs w:val="22"/>
          <w:u w:color="FF0000"/>
        </w:rPr>
        <w:t xml:space="preserve">imited affordable </w:t>
      </w:r>
      <w:r w:rsidR="00F86345" w:rsidRPr="00411B94">
        <w:rPr>
          <w:sz w:val="22"/>
          <w:szCs w:val="22"/>
          <w:u w:color="FF0000"/>
        </w:rPr>
        <w:t>housing</w:t>
      </w:r>
      <w:r w:rsidR="000422CF" w:rsidRPr="00411B94">
        <w:rPr>
          <w:sz w:val="22"/>
          <w:szCs w:val="22"/>
          <w:u w:color="FF0000"/>
        </w:rPr>
        <w:t xml:space="preserve"> options</w:t>
      </w:r>
      <w:r w:rsidRPr="00411B94">
        <w:rPr>
          <w:sz w:val="22"/>
          <w:szCs w:val="22"/>
          <w:u w:color="FF0000"/>
        </w:rPr>
        <w:t>, both  subsidized and non-subsidized</w:t>
      </w:r>
    </w:p>
    <w:p w:rsidR="002332D6" w:rsidRPr="00411B94" w:rsidRDefault="002332D6" w:rsidP="002332D6">
      <w:pPr>
        <w:numPr>
          <w:ilvl w:val="0"/>
          <w:numId w:val="28"/>
        </w:numPr>
        <w:spacing w:line="240" w:lineRule="auto"/>
        <w:rPr>
          <w:sz w:val="22"/>
          <w:szCs w:val="22"/>
          <w:u w:color="FF0000"/>
        </w:rPr>
      </w:pPr>
      <w:r w:rsidRPr="00411B94">
        <w:rPr>
          <w:sz w:val="22"/>
          <w:szCs w:val="22"/>
          <w:u w:color="FF0000"/>
        </w:rPr>
        <w:t xml:space="preserve">Limited </w:t>
      </w:r>
      <w:r w:rsidR="00196921" w:rsidRPr="00411B94">
        <w:rPr>
          <w:sz w:val="22"/>
          <w:szCs w:val="22"/>
          <w:u w:color="FF0000"/>
        </w:rPr>
        <w:t xml:space="preserve">affordable </w:t>
      </w:r>
      <w:r w:rsidRPr="00411B94">
        <w:rPr>
          <w:sz w:val="22"/>
          <w:szCs w:val="22"/>
          <w:u w:color="FF0000"/>
        </w:rPr>
        <w:t>housing production in</w:t>
      </w:r>
      <w:r w:rsidR="00196921" w:rsidRPr="00411B94">
        <w:rPr>
          <w:sz w:val="22"/>
          <w:szCs w:val="22"/>
          <w:u w:color="FF0000"/>
        </w:rPr>
        <w:t xml:space="preserve"> past</w:t>
      </w:r>
      <w:r w:rsidRPr="00411B94">
        <w:rPr>
          <w:sz w:val="22"/>
          <w:szCs w:val="22"/>
          <w:u w:color="FF0000"/>
        </w:rPr>
        <w:t xml:space="preserve"> </w:t>
      </w:r>
      <w:r w:rsidR="003E7319">
        <w:rPr>
          <w:sz w:val="22"/>
          <w:szCs w:val="22"/>
          <w:u w:color="FF0000"/>
        </w:rPr>
        <w:t>twenty (</w:t>
      </w:r>
      <w:r w:rsidRPr="00411B94">
        <w:rPr>
          <w:sz w:val="22"/>
          <w:szCs w:val="22"/>
          <w:u w:color="FF0000"/>
        </w:rPr>
        <w:t>20</w:t>
      </w:r>
      <w:r w:rsidR="003E7319">
        <w:rPr>
          <w:sz w:val="22"/>
          <w:szCs w:val="22"/>
          <w:u w:color="FF0000"/>
        </w:rPr>
        <w:t>)</w:t>
      </w:r>
      <w:r w:rsidRPr="00411B94">
        <w:rPr>
          <w:sz w:val="22"/>
          <w:szCs w:val="22"/>
          <w:u w:color="FF0000"/>
        </w:rPr>
        <w:t xml:space="preserve"> years</w:t>
      </w:r>
    </w:p>
    <w:p w:rsidR="002332D6" w:rsidRPr="00411B94" w:rsidRDefault="002332D6" w:rsidP="002332D6">
      <w:pPr>
        <w:numPr>
          <w:ilvl w:val="0"/>
          <w:numId w:val="28"/>
        </w:numPr>
        <w:spacing w:line="240" w:lineRule="auto"/>
        <w:rPr>
          <w:sz w:val="22"/>
          <w:szCs w:val="22"/>
          <w:u w:color="FF0000"/>
        </w:rPr>
      </w:pPr>
      <w:r w:rsidRPr="00411B94">
        <w:rPr>
          <w:sz w:val="22"/>
          <w:szCs w:val="22"/>
          <w:u w:color="FF0000"/>
        </w:rPr>
        <w:t>Close proximity to employment</w:t>
      </w:r>
    </w:p>
    <w:p w:rsidR="002332D6" w:rsidRPr="00411B94" w:rsidRDefault="002332D6" w:rsidP="002332D6">
      <w:pPr>
        <w:numPr>
          <w:ilvl w:val="0"/>
          <w:numId w:val="28"/>
        </w:numPr>
        <w:spacing w:line="240" w:lineRule="auto"/>
        <w:rPr>
          <w:sz w:val="22"/>
          <w:szCs w:val="22"/>
          <w:u w:color="FF0000"/>
        </w:rPr>
      </w:pPr>
      <w:r w:rsidRPr="00411B94">
        <w:rPr>
          <w:sz w:val="22"/>
          <w:szCs w:val="22"/>
          <w:u w:color="FF0000"/>
        </w:rPr>
        <w:t>Str</w:t>
      </w:r>
      <w:r w:rsidR="00196921" w:rsidRPr="00411B94">
        <w:rPr>
          <w:sz w:val="22"/>
          <w:szCs w:val="22"/>
          <w:u w:color="FF0000"/>
        </w:rPr>
        <w:t>ong</w:t>
      </w:r>
      <w:r w:rsidRPr="00411B94">
        <w:rPr>
          <w:sz w:val="22"/>
          <w:szCs w:val="22"/>
          <w:u w:color="FF0000"/>
        </w:rPr>
        <w:t xml:space="preserve"> housing market</w:t>
      </w:r>
      <w:r w:rsidR="00196921" w:rsidRPr="00411B94">
        <w:rPr>
          <w:sz w:val="22"/>
          <w:szCs w:val="22"/>
          <w:u w:color="FF0000"/>
        </w:rPr>
        <w:t>s</w:t>
      </w:r>
    </w:p>
    <w:p w:rsidR="002332D6" w:rsidRDefault="002332D6" w:rsidP="002332D6">
      <w:pPr>
        <w:numPr>
          <w:ilvl w:val="0"/>
          <w:numId w:val="28"/>
        </w:numPr>
        <w:spacing w:line="240" w:lineRule="auto"/>
        <w:rPr>
          <w:sz w:val="22"/>
          <w:szCs w:val="22"/>
          <w:u w:color="FF0000"/>
        </w:rPr>
      </w:pPr>
      <w:r w:rsidRPr="00411B94">
        <w:rPr>
          <w:sz w:val="22"/>
          <w:szCs w:val="22"/>
          <w:u w:color="FF0000"/>
        </w:rPr>
        <w:t>High owner-occupied markets</w:t>
      </w:r>
    </w:p>
    <w:p w:rsidR="00083059" w:rsidRDefault="00083059" w:rsidP="00083059">
      <w:pPr>
        <w:spacing w:line="240" w:lineRule="auto"/>
        <w:rPr>
          <w:sz w:val="22"/>
          <w:szCs w:val="22"/>
          <w:u w:color="FF0000"/>
        </w:rPr>
      </w:pPr>
    </w:p>
    <w:p w:rsidR="00083059" w:rsidRPr="00083059" w:rsidRDefault="00F94B7E" w:rsidP="00083059">
      <w:pPr>
        <w:spacing w:line="240" w:lineRule="auto"/>
        <w:ind w:left="720"/>
        <w:rPr>
          <w:color w:val="FF0000"/>
          <w:sz w:val="22"/>
          <w:szCs w:val="22"/>
          <w:u w:color="FF0000"/>
        </w:rPr>
      </w:pPr>
      <w:proofErr w:type="gramStart"/>
      <w:r>
        <w:rPr>
          <w:sz w:val="22"/>
          <w:szCs w:val="22"/>
          <w:u w:color="FF0000"/>
        </w:rPr>
        <w:t>b</w:t>
      </w:r>
      <w:proofErr w:type="gramEnd"/>
      <w:r>
        <w:rPr>
          <w:sz w:val="22"/>
          <w:szCs w:val="22"/>
          <w:u w:color="FF0000"/>
        </w:rPr>
        <w:t>.</w:t>
      </w:r>
      <w:r>
        <w:rPr>
          <w:sz w:val="22"/>
          <w:szCs w:val="22"/>
          <w:u w:color="FF0000"/>
        </w:rPr>
        <w:tab/>
      </w:r>
      <w:r w:rsidR="00083059" w:rsidRPr="00083059">
        <w:rPr>
          <w:color w:val="FF0000"/>
          <w:sz w:val="22"/>
          <w:szCs w:val="22"/>
          <w:u w:color="FF0000"/>
        </w:rPr>
        <w:t>General Occupancy – School Performance Standards – up to two (2) points</w:t>
      </w:r>
    </w:p>
    <w:p w:rsidR="00083059" w:rsidRPr="00083059" w:rsidRDefault="00083059" w:rsidP="00083059">
      <w:pPr>
        <w:spacing w:line="240" w:lineRule="auto"/>
        <w:ind w:left="720"/>
        <w:rPr>
          <w:color w:val="FF0000"/>
          <w:sz w:val="22"/>
          <w:szCs w:val="22"/>
          <w:u w:color="FF0000"/>
        </w:rPr>
      </w:pPr>
    </w:p>
    <w:p w:rsidR="00083059" w:rsidRPr="00083059" w:rsidRDefault="00083059" w:rsidP="00083059">
      <w:pPr>
        <w:spacing w:line="240" w:lineRule="auto"/>
        <w:ind w:left="1080"/>
        <w:rPr>
          <w:color w:val="FF0000"/>
          <w:sz w:val="22"/>
          <w:szCs w:val="22"/>
          <w:u w:color="FF0000"/>
        </w:rPr>
      </w:pPr>
      <w:r w:rsidRPr="00083059">
        <w:rPr>
          <w:color w:val="FF0000"/>
          <w:sz w:val="22"/>
          <w:szCs w:val="22"/>
          <w:u w:color="FF0000"/>
        </w:rPr>
        <w:t xml:space="preserve">The Agency may award up to two (2) points to those developments </w:t>
      </w:r>
      <w:r w:rsidR="0005677F">
        <w:rPr>
          <w:color w:val="FF0000"/>
          <w:sz w:val="22"/>
          <w:szCs w:val="22"/>
          <w:u w:color="FF0000"/>
        </w:rPr>
        <w:t>located in school district</w:t>
      </w:r>
      <w:r w:rsidR="00E04382">
        <w:rPr>
          <w:color w:val="FF0000"/>
          <w:sz w:val="22"/>
          <w:szCs w:val="22"/>
          <w:u w:color="FF0000"/>
        </w:rPr>
        <w:t xml:space="preserve">s </w:t>
      </w:r>
      <w:r w:rsidRPr="00083059">
        <w:rPr>
          <w:color w:val="FF0000"/>
          <w:sz w:val="22"/>
          <w:szCs w:val="22"/>
          <w:u w:color="FF0000"/>
        </w:rPr>
        <w:t xml:space="preserve">which score the following Building Level Academic Score set forth </w:t>
      </w:r>
      <w:r w:rsidR="00CC1099">
        <w:rPr>
          <w:color w:val="FF0000"/>
          <w:sz w:val="22"/>
          <w:szCs w:val="22"/>
          <w:u w:color="FF0000"/>
        </w:rPr>
        <w:t xml:space="preserve">in the </w:t>
      </w:r>
      <w:r w:rsidRPr="00083059">
        <w:rPr>
          <w:color w:val="FF0000"/>
          <w:sz w:val="22"/>
          <w:szCs w:val="22"/>
          <w:u w:color="FF0000"/>
        </w:rPr>
        <w:t xml:space="preserve">Pennsylvania </w:t>
      </w:r>
      <w:r w:rsidR="00CC1099">
        <w:rPr>
          <w:color w:val="FF0000"/>
          <w:sz w:val="22"/>
          <w:szCs w:val="22"/>
          <w:u w:color="FF0000"/>
        </w:rPr>
        <w:t xml:space="preserve">State </w:t>
      </w:r>
      <w:r w:rsidRPr="00083059">
        <w:rPr>
          <w:color w:val="FF0000"/>
          <w:sz w:val="22"/>
          <w:szCs w:val="22"/>
          <w:u w:color="FF0000"/>
        </w:rPr>
        <w:t xml:space="preserve">Performance Profile </w:t>
      </w:r>
      <w:r w:rsidR="00B1782C">
        <w:rPr>
          <w:color w:val="FF0000"/>
          <w:sz w:val="22"/>
          <w:szCs w:val="22"/>
          <w:u w:color="FF0000"/>
        </w:rPr>
        <w:t>listed at</w:t>
      </w:r>
      <w:r w:rsidR="0090150E">
        <w:rPr>
          <w:color w:val="FF0000"/>
          <w:sz w:val="22"/>
          <w:szCs w:val="22"/>
          <w:u w:color="FF0000"/>
        </w:rPr>
        <w:t xml:space="preserve"> </w:t>
      </w:r>
      <w:r w:rsidR="00CC1099">
        <w:rPr>
          <w:color w:val="FF0000"/>
          <w:sz w:val="22"/>
          <w:szCs w:val="22"/>
          <w:u w:color="FF0000"/>
        </w:rPr>
        <w:t>“</w:t>
      </w:r>
      <w:hyperlink r:id="rId12" w:history="1">
        <w:r w:rsidRPr="00083059">
          <w:rPr>
            <w:rStyle w:val="Hyperlink"/>
            <w:color w:val="FF0000"/>
            <w:sz w:val="22"/>
            <w:szCs w:val="22"/>
            <w:u w:color="FF0000"/>
          </w:rPr>
          <w:t>www.paschoolperformance.org</w:t>
        </w:r>
      </w:hyperlink>
      <w:r w:rsidR="00CC1099" w:rsidRPr="00CC1099">
        <w:rPr>
          <w:color w:val="FF0000"/>
        </w:rPr>
        <w:t>”</w:t>
      </w:r>
      <w:r w:rsidRPr="00083059">
        <w:rPr>
          <w:color w:val="FF0000"/>
          <w:sz w:val="22"/>
          <w:szCs w:val="22"/>
          <w:u w:color="FF0000"/>
        </w:rPr>
        <w:t>:</w:t>
      </w:r>
    </w:p>
    <w:p w:rsidR="004B7738" w:rsidRPr="008B361E" w:rsidRDefault="00083059" w:rsidP="0029499B">
      <w:pPr>
        <w:spacing w:line="240" w:lineRule="auto"/>
        <w:ind w:left="1080"/>
        <w:rPr>
          <w:color w:val="FF0000"/>
          <w:sz w:val="22"/>
          <w:szCs w:val="22"/>
          <w:u w:color="FF0000"/>
        </w:rPr>
      </w:pPr>
      <w:r w:rsidRPr="00083059">
        <w:rPr>
          <w:color w:val="FF0000"/>
          <w:sz w:val="22"/>
          <w:szCs w:val="22"/>
          <w:u w:color="FF0000"/>
        </w:rPr>
        <w:tab/>
      </w:r>
    </w:p>
    <w:tbl>
      <w:tblPr>
        <w:tblW w:w="0" w:type="auto"/>
        <w:jc w:val="center"/>
        <w:tblLayout w:type="fixed"/>
        <w:tblLook w:val="0000" w:firstRow="0" w:lastRow="0" w:firstColumn="0" w:lastColumn="0" w:noHBand="0" w:noVBand="0"/>
      </w:tblPr>
      <w:tblGrid>
        <w:gridCol w:w="1532"/>
        <w:gridCol w:w="360"/>
        <w:gridCol w:w="1620"/>
      </w:tblGrid>
      <w:tr w:rsidR="004B7738" w:rsidRPr="008B361E" w:rsidTr="00CF3DA8">
        <w:trPr>
          <w:jc w:val="center"/>
        </w:trPr>
        <w:tc>
          <w:tcPr>
            <w:tcW w:w="1532" w:type="dxa"/>
          </w:tcPr>
          <w:p w:rsidR="004B7738" w:rsidRPr="00CF3DA8" w:rsidRDefault="00083059" w:rsidP="00965E58">
            <w:pPr>
              <w:pStyle w:val="Header"/>
              <w:tabs>
                <w:tab w:val="clear" w:pos="4320"/>
                <w:tab w:val="clear" w:pos="8640"/>
              </w:tabs>
              <w:spacing w:line="240" w:lineRule="auto"/>
              <w:jc w:val="center"/>
              <w:rPr>
                <w:b/>
                <w:color w:val="FF0000"/>
                <w:sz w:val="22"/>
                <w:szCs w:val="22"/>
                <w:u w:val="single"/>
              </w:rPr>
            </w:pPr>
            <w:r w:rsidRPr="00CF3DA8">
              <w:rPr>
                <w:b/>
                <w:color w:val="FF0000"/>
                <w:sz w:val="22"/>
                <w:szCs w:val="22"/>
                <w:u w:val="single"/>
              </w:rPr>
              <w:t>Percentage</w:t>
            </w:r>
          </w:p>
        </w:tc>
        <w:tc>
          <w:tcPr>
            <w:tcW w:w="360" w:type="dxa"/>
          </w:tcPr>
          <w:p w:rsidR="004B7738" w:rsidRPr="008B361E" w:rsidRDefault="004B7738" w:rsidP="00965E58">
            <w:pPr>
              <w:pStyle w:val="Header"/>
              <w:tabs>
                <w:tab w:val="clear" w:pos="4320"/>
                <w:tab w:val="clear" w:pos="8640"/>
              </w:tabs>
              <w:spacing w:line="240" w:lineRule="auto"/>
              <w:jc w:val="center"/>
              <w:rPr>
                <w:b/>
                <w:color w:val="FF0000"/>
                <w:sz w:val="22"/>
                <w:szCs w:val="22"/>
                <w:u w:color="FF0000"/>
              </w:rPr>
            </w:pPr>
          </w:p>
        </w:tc>
        <w:tc>
          <w:tcPr>
            <w:tcW w:w="1620" w:type="dxa"/>
          </w:tcPr>
          <w:p w:rsidR="004B7738" w:rsidRPr="00CF3DA8" w:rsidRDefault="00083059" w:rsidP="00965E58">
            <w:pPr>
              <w:pStyle w:val="Header"/>
              <w:tabs>
                <w:tab w:val="clear" w:pos="4320"/>
                <w:tab w:val="clear" w:pos="8640"/>
              </w:tabs>
              <w:spacing w:line="240" w:lineRule="auto"/>
              <w:jc w:val="center"/>
              <w:rPr>
                <w:b/>
                <w:color w:val="FF0000"/>
                <w:sz w:val="22"/>
                <w:szCs w:val="22"/>
                <w:u w:val="single"/>
              </w:rPr>
            </w:pPr>
            <w:r w:rsidRPr="00CF3DA8">
              <w:rPr>
                <w:b/>
                <w:color w:val="FF0000"/>
                <w:sz w:val="22"/>
                <w:szCs w:val="22"/>
                <w:u w:val="single"/>
              </w:rPr>
              <w:t>Points</w:t>
            </w:r>
          </w:p>
        </w:tc>
      </w:tr>
      <w:tr w:rsidR="004B7738" w:rsidRPr="008B361E" w:rsidTr="00CF3DA8">
        <w:trPr>
          <w:jc w:val="center"/>
        </w:trPr>
        <w:tc>
          <w:tcPr>
            <w:tcW w:w="1532" w:type="dxa"/>
          </w:tcPr>
          <w:p w:rsidR="00965E58" w:rsidRPr="008B361E" w:rsidRDefault="000B0596">
            <w:pPr>
              <w:pStyle w:val="Header"/>
              <w:tabs>
                <w:tab w:val="clear" w:pos="4320"/>
                <w:tab w:val="clear" w:pos="8640"/>
              </w:tabs>
              <w:spacing w:line="240" w:lineRule="auto"/>
              <w:jc w:val="center"/>
              <w:rPr>
                <w:color w:val="FF0000"/>
                <w:sz w:val="22"/>
                <w:szCs w:val="22"/>
                <w:u w:color="FF0000"/>
              </w:rPr>
            </w:pPr>
            <w:r>
              <w:rPr>
                <w:color w:val="FF0000"/>
                <w:sz w:val="22"/>
                <w:szCs w:val="22"/>
                <w:u w:color="FF0000"/>
              </w:rPr>
              <w:t>≥</w:t>
            </w:r>
            <w:r w:rsidR="00083059" w:rsidRPr="00083059">
              <w:rPr>
                <w:color w:val="FF0000"/>
                <w:sz w:val="22"/>
                <w:szCs w:val="22"/>
                <w:u w:color="FF0000"/>
              </w:rPr>
              <w:t>70%-80%</w:t>
            </w:r>
          </w:p>
        </w:tc>
        <w:tc>
          <w:tcPr>
            <w:tcW w:w="360" w:type="dxa"/>
          </w:tcPr>
          <w:p w:rsidR="004B7738" w:rsidRPr="008B361E" w:rsidRDefault="004B7738" w:rsidP="00965E58">
            <w:pPr>
              <w:pStyle w:val="Header"/>
              <w:tabs>
                <w:tab w:val="clear" w:pos="4320"/>
                <w:tab w:val="clear" w:pos="8640"/>
              </w:tabs>
              <w:spacing w:line="240" w:lineRule="auto"/>
              <w:jc w:val="center"/>
              <w:rPr>
                <w:color w:val="FF0000"/>
                <w:sz w:val="22"/>
                <w:szCs w:val="22"/>
                <w:u w:color="FF0000"/>
              </w:rPr>
            </w:pPr>
          </w:p>
        </w:tc>
        <w:tc>
          <w:tcPr>
            <w:tcW w:w="1620" w:type="dxa"/>
          </w:tcPr>
          <w:p w:rsidR="004B7738" w:rsidRPr="008B361E" w:rsidRDefault="00083059" w:rsidP="00965E58">
            <w:pPr>
              <w:pStyle w:val="Header"/>
              <w:tabs>
                <w:tab w:val="clear" w:pos="4320"/>
                <w:tab w:val="clear" w:pos="8640"/>
              </w:tabs>
              <w:spacing w:line="240" w:lineRule="auto"/>
              <w:jc w:val="center"/>
              <w:rPr>
                <w:color w:val="FF0000"/>
                <w:sz w:val="22"/>
                <w:szCs w:val="22"/>
                <w:u w:color="FF0000"/>
              </w:rPr>
            </w:pPr>
            <w:r w:rsidRPr="00083059">
              <w:rPr>
                <w:color w:val="FF0000"/>
                <w:sz w:val="22"/>
                <w:szCs w:val="22"/>
                <w:u w:color="FF0000"/>
              </w:rPr>
              <w:t>1</w:t>
            </w:r>
          </w:p>
        </w:tc>
      </w:tr>
      <w:tr w:rsidR="004B7738" w:rsidRPr="008B361E" w:rsidTr="00965E58">
        <w:trPr>
          <w:jc w:val="center"/>
        </w:trPr>
        <w:tc>
          <w:tcPr>
            <w:tcW w:w="1532" w:type="dxa"/>
          </w:tcPr>
          <w:p w:rsidR="00965E58" w:rsidRPr="008B361E" w:rsidRDefault="00083059">
            <w:pPr>
              <w:pStyle w:val="Header"/>
              <w:tabs>
                <w:tab w:val="clear" w:pos="4320"/>
                <w:tab w:val="clear" w:pos="8640"/>
              </w:tabs>
              <w:spacing w:line="240" w:lineRule="auto"/>
              <w:jc w:val="center"/>
              <w:rPr>
                <w:color w:val="FF0000"/>
                <w:sz w:val="22"/>
                <w:szCs w:val="22"/>
                <w:u w:color="FF0000"/>
              </w:rPr>
            </w:pPr>
            <w:r w:rsidRPr="00083059">
              <w:rPr>
                <w:color w:val="FF0000"/>
                <w:sz w:val="22"/>
                <w:szCs w:val="22"/>
                <w:u w:color="FF0000"/>
              </w:rPr>
              <w:t>&gt;80%</w:t>
            </w:r>
          </w:p>
        </w:tc>
        <w:tc>
          <w:tcPr>
            <w:tcW w:w="360" w:type="dxa"/>
          </w:tcPr>
          <w:p w:rsidR="004B7738" w:rsidRPr="008B361E" w:rsidRDefault="004B7738" w:rsidP="00965E58">
            <w:pPr>
              <w:pStyle w:val="Header"/>
              <w:tabs>
                <w:tab w:val="clear" w:pos="4320"/>
                <w:tab w:val="clear" w:pos="8640"/>
              </w:tabs>
              <w:spacing w:line="240" w:lineRule="auto"/>
              <w:jc w:val="center"/>
              <w:rPr>
                <w:color w:val="FF0000"/>
                <w:sz w:val="22"/>
                <w:szCs w:val="22"/>
                <w:u w:color="FF0000"/>
              </w:rPr>
            </w:pPr>
          </w:p>
        </w:tc>
        <w:tc>
          <w:tcPr>
            <w:tcW w:w="1620" w:type="dxa"/>
          </w:tcPr>
          <w:p w:rsidR="004B7738" w:rsidRPr="008B361E" w:rsidRDefault="00083059" w:rsidP="00965E58">
            <w:pPr>
              <w:pStyle w:val="Header"/>
              <w:tabs>
                <w:tab w:val="clear" w:pos="4320"/>
                <w:tab w:val="clear" w:pos="8640"/>
              </w:tabs>
              <w:spacing w:line="240" w:lineRule="auto"/>
              <w:jc w:val="center"/>
              <w:rPr>
                <w:color w:val="FF0000"/>
                <w:sz w:val="22"/>
                <w:szCs w:val="22"/>
                <w:u w:color="FF0000"/>
              </w:rPr>
            </w:pPr>
            <w:r w:rsidRPr="00083059">
              <w:rPr>
                <w:color w:val="FF0000"/>
                <w:sz w:val="22"/>
                <w:szCs w:val="22"/>
                <w:u w:color="FF0000"/>
              </w:rPr>
              <w:t>2</w:t>
            </w:r>
          </w:p>
        </w:tc>
      </w:tr>
      <w:tr w:rsidR="004B7738" w:rsidRPr="00411B94" w:rsidTr="00965E58">
        <w:trPr>
          <w:jc w:val="center"/>
        </w:trPr>
        <w:tc>
          <w:tcPr>
            <w:tcW w:w="1532" w:type="dxa"/>
          </w:tcPr>
          <w:p w:rsidR="004B7738" w:rsidRPr="00411B94" w:rsidRDefault="004B7738" w:rsidP="00965E58">
            <w:pPr>
              <w:pStyle w:val="Header"/>
              <w:tabs>
                <w:tab w:val="clear" w:pos="4320"/>
                <w:tab w:val="clear" w:pos="8640"/>
              </w:tabs>
              <w:spacing w:line="240" w:lineRule="auto"/>
              <w:jc w:val="center"/>
              <w:rPr>
                <w:sz w:val="22"/>
                <w:szCs w:val="22"/>
                <w:u w:color="FF0000"/>
              </w:rPr>
            </w:pPr>
          </w:p>
        </w:tc>
        <w:tc>
          <w:tcPr>
            <w:tcW w:w="360" w:type="dxa"/>
          </w:tcPr>
          <w:p w:rsidR="004B7738" w:rsidRPr="00411B94" w:rsidRDefault="004B7738" w:rsidP="00965E58">
            <w:pPr>
              <w:pStyle w:val="Header"/>
              <w:tabs>
                <w:tab w:val="clear" w:pos="4320"/>
                <w:tab w:val="clear" w:pos="8640"/>
              </w:tabs>
              <w:spacing w:line="240" w:lineRule="auto"/>
              <w:jc w:val="center"/>
              <w:rPr>
                <w:sz w:val="22"/>
                <w:szCs w:val="22"/>
                <w:u w:color="FF0000"/>
              </w:rPr>
            </w:pPr>
          </w:p>
        </w:tc>
        <w:tc>
          <w:tcPr>
            <w:tcW w:w="1620" w:type="dxa"/>
          </w:tcPr>
          <w:p w:rsidR="004B7738" w:rsidRPr="00411B94" w:rsidRDefault="004B7738" w:rsidP="00965E58">
            <w:pPr>
              <w:pStyle w:val="Header"/>
              <w:tabs>
                <w:tab w:val="clear" w:pos="4320"/>
                <w:tab w:val="clear" w:pos="8640"/>
              </w:tabs>
              <w:spacing w:line="240" w:lineRule="auto"/>
              <w:jc w:val="center"/>
              <w:rPr>
                <w:sz w:val="22"/>
                <w:szCs w:val="22"/>
                <w:u w:color="FF0000"/>
              </w:rPr>
            </w:pPr>
          </w:p>
        </w:tc>
      </w:tr>
    </w:tbl>
    <w:p w:rsidR="007F463A" w:rsidRPr="00411B94" w:rsidRDefault="0029499B" w:rsidP="00196921">
      <w:pPr>
        <w:spacing w:after="240" w:line="240" w:lineRule="auto"/>
        <w:ind w:left="720"/>
        <w:rPr>
          <w:sz w:val="22"/>
          <w:szCs w:val="22"/>
          <w:u w:color="FF0000"/>
        </w:rPr>
      </w:pPr>
      <w:r>
        <w:rPr>
          <w:sz w:val="22"/>
          <w:szCs w:val="22"/>
          <w:u w:color="FF0000"/>
        </w:rPr>
        <w:t>c</w:t>
      </w:r>
      <w:r w:rsidR="00B911B6" w:rsidRPr="00411B94">
        <w:rPr>
          <w:sz w:val="22"/>
          <w:szCs w:val="22"/>
          <w:u w:color="FF0000"/>
        </w:rPr>
        <w:t>.</w:t>
      </w:r>
      <w:r w:rsidR="00B911B6" w:rsidRPr="00411B94">
        <w:rPr>
          <w:sz w:val="22"/>
          <w:szCs w:val="22"/>
          <w:u w:color="FF0000"/>
        </w:rPr>
        <w:tab/>
      </w:r>
      <w:r w:rsidR="00BD6593" w:rsidRPr="00411B94">
        <w:rPr>
          <w:sz w:val="22"/>
          <w:szCs w:val="22"/>
          <w:u w:color="FF0000"/>
        </w:rPr>
        <w:t>Senior</w:t>
      </w:r>
      <w:r w:rsidR="00B911B6" w:rsidRPr="00411B94">
        <w:rPr>
          <w:sz w:val="22"/>
          <w:szCs w:val="22"/>
          <w:u w:color="FF0000"/>
        </w:rPr>
        <w:t xml:space="preserve"> </w:t>
      </w:r>
      <w:r w:rsidR="00196921" w:rsidRPr="00411B94">
        <w:rPr>
          <w:sz w:val="22"/>
          <w:szCs w:val="22"/>
          <w:u w:color="FF0000"/>
        </w:rPr>
        <w:t>Occupancy Developments</w:t>
      </w:r>
      <w:r w:rsidR="006A0F14" w:rsidRPr="00411B94">
        <w:rPr>
          <w:sz w:val="22"/>
          <w:szCs w:val="22"/>
          <w:u w:color="FF0000"/>
        </w:rPr>
        <w:t xml:space="preserve"> </w:t>
      </w:r>
      <w:r w:rsidR="006A0F14" w:rsidRPr="00411B94">
        <w:rPr>
          <w:sz w:val="22"/>
          <w:szCs w:val="22"/>
        </w:rPr>
        <w:t>–</w:t>
      </w:r>
    </w:p>
    <w:p w:rsidR="00C22988" w:rsidRPr="00411B94" w:rsidRDefault="00196921" w:rsidP="00BD6593">
      <w:pPr>
        <w:pStyle w:val="Header"/>
        <w:numPr>
          <w:ilvl w:val="0"/>
          <w:numId w:val="29"/>
        </w:numPr>
        <w:tabs>
          <w:tab w:val="clear" w:pos="1800"/>
          <w:tab w:val="clear" w:pos="4320"/>
          <w:tab w:val="clear" w:pos="8640"/>
          <w:tab w:val="num" w:pos="1440"/>
        </w:tabs>
        <w:spacing w:line="240" w:lineRule="auto"/>
        <w:ind w:hanging="720"/>
        <w:rPr>
          <w:sz w:val="22"/>
          <w:szCs w:val="22"/>
          <w:u w:color="FF0000"/>
        </w:rPr>
      </w:pPr>
      <w:r w:rsidRPr="00411B94">
        <w:rPr>
          <w:sz w:val="22"/>
          <w:szCs w:val="22"/>
          <w:u w:color="FF0000"/>
        </w:rPr>
        <w:t>Large number of seniors eligible for affordable housing</w:t>
      </w:r>
    </w:p>
    <w:p w:rsidR="00196921" w:rsidRPr="00411B94" w:rsidRDefault="00196921" w:rsidP="00BD6593">
      <w:pPr>
        <w:pStyle w:val="Header"/>
        <w:numPr>
          <w:ilvl w:val="0"/>
          <w:numId w:val="29"/>
        </w:numPr>
        <w:tabs>
          <w:tab w:val="clear" w:pos="1800"/>
          <w:tab w:val="clear" w:pos="4320"/>
          <w:tab w:val="clear" w:pos="8640"/>
          <w:tab w:val="num" w:pos="1440"/>
        </w:tabs>
        <w:spacing w:line="240" w:lineRule="auto"/>
        <w:ind w:hanging="720"/>
        <w:rPr>
          <w:sz w:val="22"/>
          <w:szCs w:val="22"/>
          <w:u w:color="FF0000"/>
        </w:rPr>
      </w:pPr>
      <w:r w:rsidRPr="00411B94">
        <w:rPr>
          <w:sz w:val="22"/>
          <w:szCs w:val="22"/>
          <w:u w:color="FF0000"/>
        </w:rPr>
        <w:t>Limited affordable housing options, both subsidized and non-subsidized</w:t>
      </w:r>
    </w:p>
    <w:p w:rsidR="00196921" w:rsidRPr="00411B94" w:rsidRDefault="00196921" w:rsidP="00BD6593">
      <w:pPr>
        <w:pStyle w:val="Header"/>
        <w:numPr>
          <w:ilvl w:val="0"/>
          <w:numId w:val="29"/>
        </w:numPr>
        <w:tabs>
          <w:tab w:val="clear" w:pos="1800"/>
          <w:tab w:val="clear" w:pos="4320"/>
          <w:tab w:val="clear" w:pos="8640"/>
          <w:tab w:val="num" w:pos="1440"/>
        </w:tabs>
        <w:spacing w:line="240" w:lineRule="auto"/>
        <w:ind w:hanging="720"/>
        <w:rPr>
          <w:sz w:val="22"/>
          <w:szCs w:val="22"/>
          <w:u w:color="FF0000"/>
        </w:rPr>
      </w:pPr>
      <w:r w:rsidRPr="00411B94">
        <w:rPr>
          <w:sz w:val="22"/>
          <w:szCs w:val="22"/>
          <w:u w:color="FF0000"/>
        </w:rPr>
        <w:t xml:space="preserve">Limited affordable housing production in past </w:t>
      </w:r>
      <w:r w:rsidR="003E7319">
        <w:rPr>
          <w:sz w:val="22"/>
          <w:szCs w:val="22"/>
          <w:u w:color="FF0000"/>
        </w:rPr>
        <w:t>twenty (</w:t>
      </w:r>
      <w:r w:rsidRPr="00411B94">
        <w:rPr>
          <w:sz w:val="22"/>
          <w:szCs w:val="22"/>
          <w:u w:color="FF0000"/>
        </w:rPr>
        <w:t>20</w:t>
      </w:r>
      <w:r w:rsidR="003E7319">
        <w:rPr>
          <w:sz w:val="22"/>
          <w:szCs w:val="22"/>
          <w:u w:color="FF0000"/>
        </w:rPr>
        <w:t>)</w:t>
      </w:r>
      <w:r w:rsidRPr="00411B94">
        <w:rPr>
          <w:sz w:val="22"/>
          <w:szCs w:val="22"/>
          <w:u w:color="FF0000"/>
        </w:rPr>
        <w:t xml:space="preserve"> years</w:t>
      </w:r>
    </w:p>
    <w:p w:rsidR="00BD6593" w:rsidRPr="00411B94" w:rsidRDefault="00BD6593" w:rsidP="00BD6593">
      <w:pPr>
        <w:pStyle w:val="Header"/>
        <w:numPr>
          <w:ilvl w:val="0"/>
          <w:numId w:val="29"/>
        </w:numPr>
        <w:tabs>
          <w:tab w:val="clear" w:pos="1800"/>
          <w:tab w:val="clear" w:pos="4320"/>
          <w:tab w:val="clear" w:pos="8640"/>
          <w:tab w:val="num" w:pos="1440"/>
        </w:tabs>
        <w:spacing w:line="240" w:lineRule="auto"/>
        <w:ind w:left="1440"/>
        <w:rPr>
          <w:sz w:val="22"/>
          <w:szCs w:val="22"/>
          <w:u w:color="FF0000"/>
        </w:rPr>
      </w:pPr>
      <w:r w:rsidRPr="00411B94">
        <w:rPr>
          <w:sz w:val="22"/>
          <w:szCs w:val="22"/>
          <w:u w:color="FF0000"/>
        </w:rPr>
        <w:t xml:space="preserve">Close </w:t>
      </w:r>
      <w:r w:rsidR="00196921" w:rsidRPr="00411B94">
        <w:rPr>
          <w:sz w:val="22"/>
          <w:szCs w:val="22"/>
          <w:u w:color="FF0000"/>
        </w:rPr>
        <w:t xml:space="preserve">proximity </w:t>
      </w:r>
      <w:r w:rsidRPr="00411B94">
        <w:rPr>
          <w:sz w:val="22"/>
          <w:szCs w:val="22"/>
          <w:u w:color="FF0000"/>
        </w:rPr>
        <w:t xml:space="preserve">to amenities for the senior population, including health and retail establishments, home health agencies, and hospitals.  </w:t>
      </w:r>
    </w:p>
    <w:p w:rsidR="00BD6593" w:rsidRPr="00411B94" w:rsidRDefault="00BD6593" w:rsidP="00196921">
      <w:pPr>
        <w:pStyle w:val="Header"/>
        <w:tabs>
          <w:tab w:val="clear" w:pos="4320"/>
          <w:tab w:val="clear" w:pos="8640"/>
        </w:tabs>
        <w:spacing w:line="240" w:lineRule="auto"/>
        <w:ind w:left="720"/>
        <w:rPr>
          <w:sz w:val="22"/>
          <w:szCs w:val="22"/>
          <w:u w:color="FF0000"/>
        </w:rPr>
      </w:pPr>
    </w:p>
    <w:p w:rsidR="00196921" w:rsidRDefault="00196921" w:rsidP="00196921">
      <w:pPr>
        <w:pStyle w:val="Header"/>
        <w:tabs>
          <w:tab w:val="clear" w:pos="4320"/>
          <w:tab w:val="clear" w:pos="8640"/>
        </w:tabs>
        <w:spacing w:after="240" w:line="240" w:lineRule="auto"/>
        <w:ind w:firstLine="360"/>
        <w:jc w:val="center"/>
        <w:rPr>
          <w:sz w:val="22"/>
          <w:szCs w:val="22"/>
          <w:u w:color="FF0000"/>
        </w:rPr>
      </w:pPr>
      <w:smartTag w:uri="urn:schemas-microsoft-com:office:smarttags" w:element="stockticker">
        <w:r w:rsidRPr="00411B94">
          <w:rPr>
            <w:sz w:val="22"/>
            <w:szCs w:val="22"/>
            <w:u w:color="FF0000"/>
          </w:rPr>
          <w:t>AND</w:t>
        </w:r>
      </w:smartTag>
      <w:r w:rsidRPr="00411B94">
        <w:rPr>
          <w:sz w:val="22"/>
          <w:szCs w:val="22"/>
          <w:u w:color="FF0000"/>
        </w:rPr>
        <w:t>/OR</w:t>
      </w:r>
    </w:p>
    <w:p w:rsidR="00083059" w:rsidRDefault="00F6373B" w:rsidP="00083059">
      <w:pPr>
        <w:pStyle w:val="Header"/>
        <w:tabs>
          <w:tab w:val="clear" w:pos="4320"/>
          <w:tab w:val="clear" w:pos="8640"/>
        </w:tabs>
        <w:spacing w:after="240" w:line="240" w:lineRule="auto"/>
        <w:ind w:firstLine="360"/>
        <w:jc w:val="left"/>
        <w:rPr>
          <w:sz w:val="22"/>
          <w:szCs w:val="22"/>
          <w:u w:color="FF0000"/>
        </w:rPr>
      </w:pPr>
      <w:r>
        <w:rPr>
          <w:sz w:val="22"/>
          <w:szCs w:val="22"/>
          <w:u w:color="FF0000"/>
        </w:rPr>
        <w:t>2.</w:t>
      </w:r>
      <w:r>
        <w:rPr>
          <w:sz w:val="22"/>
          <w:szCs w:val="22"/>
          <w:u w:color="FF0000"/>
        </w:rPr>
        <w:tab/>
      </w:r>
      <w:r w:rsidR="00083059" w:rsidRPr="00083059">
        <w:rPr>
          <w:sz w:val="22"/>
          <w:szCs w:val="22"/>
          <w:u w:val="single"/>
        </w:rPr>
        <w:t>Community Revitalization</w:t>
      </w:r>
    </w:p>
    <w:p w:rsidR="00083059" w:rsidRDefault="00F6373B" w:rsidP="00083059">
      <w:pPr>
        <w:pStyle w:val="Header"/>
        <w:tabs>
          <w:tab w:val="clear" w:pos="4320"/>
          <w:tab w:val="clear" w:pos="8640"/>
        </w:tabs>
        <w:spacing w:after="240" w:line="240" w:lineRule="auto"/>
        <w:ind w:left="720"/>
        <w:rPr>
          <w:sz w:val="22"/>
          <w:szCs w:val="22"/>
          <w:u w:color="FF0000"/>
        </w:rPr>
      </w:pPr>
      <w:proofErr w:type="gramStart"/>
      <w:r>
        <w:rPr>
          <w:sz w:val="22"/>
          <w:szCs w:val="22"/>
          <w:u w:color="FF0000"/>
        </w:rPr>
        <w:t>a</w:t>
      </w:r>
      <w:proofErr w:type="gramEnd"/>
      <w:r w:rsidR="00BD6593" w:rsidRPr="00411B94">
        <w:rPr>
          <w:sz w:val="22"/>
          <w:szCs w:val="22"/>
          <w:u w:color="FF0000"/>
        </w:rPr>
        <w:t>.</w:t>
      </w:r>
      <w:r w:rsidR="00BD6593" w:rsidRPr="00411B94">
        <w:rPr>
          <w:sz w:val="22"/>
          <w:szCs w:val="22"/>
          <w:u w:color="FF0000"/>
        </w:rPr>
        <w:tab/>
      </w:r>
      <w:r w:rsidR="004F5CB0" w:rsidRPr="00411B94">
        <w:rPr>
          <w:sz w:val="22"/>
          <w:szCs w:val="22"/>
          <w:u w:color="FF0000"/>
        </w:rPr>
        <w:t>For New Construction and Substantial Rehabilitation Properties:</w:t>
      </w:r>
    </w:p>
    <w:p w:rsidR="00083059" w:rsidRDefault="00486D85" w:rsidP="00083059">
      <w:pPr>
        <w:pStyle w:val="Header"/>
        <w:tabs>
          <w:tab w:val="clear" w:pos="4320"/>
          <w:tab w:val="clear" w:pos="8640"/>
        </w:tabs>
        <w:spacing w:after="240" w:line="240" w:lineRule="auto"/>
        <w:ind w:left="1080"/>
        <w:rPr>
          <w:sz w:val="22"/>
          <w:szCs w:val="22"/>
          <w:u w:color="FF0000"/>
        </w:rPr>
      </w:pPr>
      <w:r w:rsidRPr="00411B94">
        <w:rPr>
          <w:sz w:val="22"/>
          <w:szCs w:val="22"/>
          <w:u w:val="single"/>
        </w:rPr>
        <w:t>Community Revitalization Plans</w:t>
      </w:r>
      <w:r w:rsidR="004F5CB0" w:rsidRPr="00411B94">
        <w:rPr>
          <w:sz w:val="22"/>
          <w:szCs w:val="22"/>
          <w:u w:val="single"/>
        </w:rPr>
        <w:t xml:space="preserve">, Evidence of Municipal and Local Support, </w:t>
      </w:r>
      <w:r w:rsidR="008C6FDB" w:rsidRPr="00411B94">
        <w:rPr>
          <w:sz w:val="22"/>
          <w:szCs w:val="22"/>
          <w:u w:val="single"/>
        </w:rPr>
        <w:t>Access to Transportation and Existing Infrastructure and Community Resources</w:t>
      </w:r>
      <w:r w:rsidR="00FB670A" w:rsidRPr="00411B94">
        <w:rPr>
          <w:sz w:val="22"/>
          <w:szCs w:val="22"/>
          <w:u w:val="single"/>
        </w:rPr>
        <w:t xml:space="preserve"> and Suitability of Site</w:t>
      </w:r>
      <w:r w:rsidRPr="00411B94">
        <w:rPr>
          <w:sz w:val="22"/>
          <w:szCs w:val="22"/>
          <w:u w:color="FF0000"/>
        </w:rPr>
        <w:t xml:space="preserve"> – A critical circumstance is the development's forming an important part of a broader or comprehensive program of neighborhood improvement which has the capability of changing </w:t>
      </w:r>
      <w:r w:rsidRPr="00411B94">
        <w:rPr>
          <w:sz w:val="22"/>
          <w:szCs w:val="22"/>
          <w:u w:color="FF0000"/>
        </w:rPr>
        <w:lastRenderedPageBreak/>
        <w:t>fundamentally the character of that neighborhood or enhancing the lives and amenities available to residents of the community.  Such improvement should include the pr</w:t>
      </w:r>
      <w:r w:rsidR="00AF20DE" w:rsidRPr="00411B94">
        <w:rPr>
          <w:sz w:val="22"/>
          <w:szCs w:val="22"/>
          <w:u w:color="FF0000"/>
        </w:rPr>
        <w:t>ovision of mixed income housing.</w:t>
      </w:r>
      <w:r w:rsidRPr="00411B94">
        <w:rPr>
          <w:sz w:val="22"/>
          <w:szCs w:val="22"/>
          <w:u w:color="FF0000"/>
        </w:rPr>
        <w:t xml:space="preserve">  </w:t>
      </w:r>
      <w:r w:rsidR="00BB4A59" w:rsidRPr="00411B94">
        <w:rPr>
          <w:sz w:val="22"/>
          <w:szCs w:val="22"/>
          <w:u w:color="FF0000"/>
        </w:rPr>
        <w:t>A program of neighborhood improvement includes m</w:t>
      </w:r>
      <w:r w:rsidRPr="00411B94">
        <w:rPr>
          <w:sz w:val="22"/>
          <w:szCs w:val="22"/>
          <w:u w:color="FF0000"/>
        </w:rPr>
        <w:t>unicipal support articulated in a publicly approved community plan or in the form of significant funding commitments</w:t>
      </w:r>
      <w:r w:rsidR="00BB4A59" w:rsidRPr="00411B94">
        <w:rPr>
          <w:sz w:val="22"/>
          <w:szCs w:val="22"/>
          <w:u w:color="FF0000"/>
        </w:rPr>
        <w:t xml:space="preserve">, or evidence </w:t>
      </w:r>
      <w:r w:rsidR="00017266" w:rsidRPr="00411B94">
        <w:rPr>
          <w:sz w:val="22"/>
          <w:szCs w:val="22"/>
          <w:u w:color="FF0000"/>
        </w:rPr>
        <w:t xml:space="preserve">of </w:t>
      </w:r>
      <w:r w:rsidR="00BB4A59" w:rsidRPr="00411B94">
        <w:rPr>
          <w:sz w:val="22"/>
          <w:szCs w:val="22"/>
          <w:u w:color="FF0000"/>
        </w:rPr>
        <w:t>substantial major investment in the area</w:t>
      </w:r>
      <w:r w:rsidR="00292539" w:rsidRPr="00411B94">
        <w:rPr>
          <w:sz w:val="22"/>
          <w:szCs w:val="22"/>
          <w:u w:color="FF0000"/>
        </w:rPr>
        <w:t xml:space="preserve"> that is consistent with </w:t>
      </w:r>
      <w:r w:rsidR="008C6FDB" w:rsidRPr="00411B94">
        <w:rPr>
          <w:sz w:val="22"/>
          <w:szCs w:val="22"/>
          <w:u w:color="FF0000"/>
        </w:rPr>
        <w:t>a</w:t>
      </w:r>
      <w:r w:rsidR="00292539" w:rsidRPr="00411B94">
        <w:rPr>
          <w:sz w:val="22"/>
          <w:szCs w:val="22"/>
          <w:u w:color="FF0000"/>
        </w:rPr>
        <w:t xml:space="preserve"> comprehensive plan for neighborhood </w:t>
      </w:r>
      <w:r w:rsidR="00292539" w:rsidRPr="00411B94">
        <w:rPr>
          <w:sz w:val="22"/>
          <w:szCs w:val="22"/>
        </w:rPr>
        <w:t>improvement</w:t>
      </w:r>
      <w:r w:rsidR="00AC1BA9" w:rsidRPr="00411B94">
        <w:rPr>
          <w:sz w:val="22"/>
          <w:szCs w:val="22"/>
        </w:rPr>
        <w:t xml:space="preserve"> which </w:t>
      </w:r>
      <w:r w:rsidR="008C6FDB" w:rsidRPr="00411B94">
        <w:rPr>
          <w:sz w:val="22"/>
          <w:szCs w:val="22"/>
        </w:rPr>
        <w:t xml:space="preserve">may </w:t>
      </w:r>
      <w:r w:rsidR="00AC1BA9" w:rsidRPr="00411B94">
        <w:rPr>
          <w:sz w:val="22"/>
          <w:szCs w:val="22"/>
        </w:rPr>
        <w:t>include contributing to a transit oriented design initiative</w:t>
      </w:r>
      <w:r w:rsidR="00BB4A59" w:rsidRPr="00411B94">
        <w:rPr>
          <w:sz w:val="22"/>
          <w:szCs w:val="22"/>
        </w:rPr>
        <w:t>.  Such funding commitments or</w:t>
      </w:r>
      <w:r w:rsidR="00BB4A59" w:rsidRPr="00411B94">
        <w:rPr>
          <w:sz w:val="22"/>
          <w:szCs w:val="22"/>
          <w:u w:color="FF0000"/>
        </w:rPr>
        <w:t xml:space="preserve"> major investments cannot be derived solely from the development of Tax Credit properties</w:t>
      </w:r>
      <w:r w:rsidRPr="00411B94">
        <w:rPr>
          <w:sz w:val="22"/>
          <w:szCs w:val="22"/>
          <w:u w:color="FF0000"/>
        </w:rPr>
        <w:t xml:space="preserve"> </w:t>
      </w:r>
      <w:r w:rsidR="00217C20" w:rsidRPr="00411B94">
        <w:rPr>
          <w:sz w:val="22"/>
          <w:szCs w:val="22"/>
          <w:u w:color="FF0000"/>
        </w:rPr>
        <w:t xml:space="preserve">and </w:t>
      </w:r>
      <w:r w:rsidRPr="00411B94">
        <w:rPr>
          <w:sz w:val="22"/>
          <w:szCs w:val="22"/>
          <w:u w:color="FF0000"/>
        </w:rPr>
        <w:t xml:space="preserve">may include proposals participating in: Main Street, Elm Street, Neighborhood Partnership or other programs of the </w:t>
      </w:r>
      <w:r w:rsidR="002E5AA6" w:rsidRPr="00411B94">
        <w:rPr>
          <w:sz w:val="22"/>
          <w:szCs w:val="22"/>
          <w:u w:color="FF0000"/>
        </w:rPr>
        <w:t xml:space="preserve">Commonwealth, </w:t>
      </w:r>
      <w:r w:rsidRPr="00411B94">
        <w:rPr>
          <w:sz w:val="22"/>
          <w:szCs w:val="22"/>
          <w:u w:color="FF0000"/>
        </w:rPr>
        <w:t>the Agency'</w:t>
      </w:r>
      <w:r w:rsidR="00AF20DE" w:rsidRPr="00411B94">
        <w:rPr>
          <w:sz w:val="22"/>
          <w:szCs w:val="22"/>
          <w:u w:color="FF0000"/>
        </w:rPr>
        <w:t>s Homeownership Choice Programs;</w:t>
      </w:r>
      <w:r w:rsidR="00DF2AD7" w:rsidRPr="00411B94">
        <w:rPr>
          <w:sz w:val="22"/>
          <w:szCs w:val="22"/>
          <w:u w:color="FF0000"/>
        </w:rPr>
        <w:t xml:space="preserve"> New Markets Tax Credits, </w:t>
      </w:r>
      <w:r w:rsidRPr="00411B94">
        <w:rPr>
          <w:sz w:val="22"/>
          <w:szCs w:val="22"/>
          <w:u w:color="FF0000"/>
        </w:rPr>
        <w:t xml:space="preserve"> the Healthy Village Initiative of the Local Initiatives Support Corporation; the Blueprint Communities Initiative of the Federal Home Loan Bank or similar community support programs.  Additionally, the plan should </w:t>
      </w:r>
      <w:r w:rsidR="00292539" w:rsidRPr="00411B94">
        <w:rPr>
          <w:sz w:val="22"/>
          <w:szCs w:val="22"/>
          <w:u w:color="FF0000"/>
        </w:rPr>
        <w:t xml:space="preserve">generally </w:t>
      </w:r>
      <w:r w:rsidRPr="00411B94">
        <w:rPr>
          <w:sz w:val="22"/>
          <w:szCs w:val="22"/>
          <w:u w:color="FF0000"/>
        </w:rPr>
        <w:t xml:space="preserve">include </w:t>
      </w:r>
      <w:r w:rsidR="00292539" w:rsidRPr="00411B94">
        <w:rPr>
          <w:sz w:val="22"/>
          <w:szCs w:val="22"/>
          <w:u w:color="FF0000"/>
        </w:rPr>
        <w:t xml:space="preserve">municipal support, </w:t>
      </w:r>
      <w:r w:rsidRPr="00411B94">
        <w:rPr>
          <w:sz w:val="22"/>
          <w:szCs w:val="22"/>
          <w:u w:color="FF0000"/>
        </w:rPr>
        <w:t>private investment and</w:t>
      </w:r>
      <w:r w:rsidR="00292539" w:rsidRPr="00411B94">
        <w:rPr>
          <w:sz w:val="22"/>
          <w:szCs w:val="22"/>
          <w:u w:color="FF0000"/>
        </w:rPr>
        <w:t>/or</w:t>
      </w:r>
      <w:r w:rsidRPr="00411B94">
        <w:rPr>
          <w:sz w:val="22"/>
          <w:szCs w:val="22"/>
          <w:u w:color="FF0000"/>
        </w:rPr>
        <w:t xml:space="preserve"> private sector commitments to the area</w:t>
      </w:r>
      <w:r w:rsidR="00FB670A" w:rsidRPr="00411B94">
        <w:rPr>
          <w:sz w:val="22"/>
          <w:szCs w:val="22"/>
          <w:u w:color="FF0000"/>
        </w:rPr>
        <w:t xml:space="preserve"> or </w:t>
      </w:r>
      <w:r w:rsidR="008C6FDB" w:rsidRPr="00411B94">
        <w:rPr>
          <w:sz w:val="22"/>
          <w:szCs w:val="22"/>
          <w:u w:color="FF0000"/>
        </w:rPr>
        <w:t xml:space="preserve">evidence </w:t>
      </w:r>
      <w:r w:rsidR="00FB670A" w:rsidRPr="00411B94">
        <w:rPr>
          <w:sz w:val="22"/>
          <w:szCs w:val="22"/>
          <w:u w:color="FF0000"/>
        </w:rPr>
        <w:t>infrastructure in place to support the development</w:t>
      </w:r>
      <w:r w:rsidR="0091232C" w:rsidRPr="00411B94">
        <w:rPr>
          <w:sz w:val="22"/>
          <w:szCs w:val="22"/>
          <w:u w:color="FF0000"/>
        </w:rPr>
        <w:t>.</w:t>
      </w:r>
      <w:r w:rsidRPr="00411B94">
        <w:rPr>
          <w:sz w:val="22"/>
          <w:szCs w:val="22"/>
          <w:u w:color="FF0000"/>
        </w:rPr>
        <w:t xml:space="preserve">  </w:t>
      </w:r>
      <w:r w:rsidR="007B6CB4" w:rsidRPr="00411B94">
        <w:rPr>
          <w:sz w:val="22"/>
          <w:szCs w:val="22"/>
          <w:u w:color="FF0000"/>
        </w:rPr>
        <w:t xml:space="preserve">The Agency will consider in its evaluation of community impact the </w:t>
      </w:r>
      <w:r w:rsidRPr="00411B94">
        <w:rPr>
          <w:sz w:val="22"/>
          <w:szCs w:val="22"/>
          <w:u w:color="FF0000"/>
        </w:rPr>
        <w:t xml:space="preserve">use of existing housing or buildings </w:t>
      </w:r>
      <w:r w:rsidR="007B6CB4" w:rsidRPr="00411B94">
        <w:rPr>
          <w:sz w:val="22"/>
          <w:szCs w:val="22"/>
          <w:u w:color="FF0000"/>
        </w:rPr>
        <w:t xml:space="preserve">if the development is not located in a qualified census tract. </w:t>
      </w:r>
      <w:r w:rsidR="00CE3795" w:rsidRPr="00411B94">
        <w:rPr>
          <w:sz w:val="22"/>
          <w:szCs w:val="22"/>
          <w:u w:color="FF0000"/>
        </w:rPr>
        <w:t xml:space="preserve">Up to </w:t>
      </w:r>
      <w:r w:rsidR="003E7319">
        <w:rPr>
          <w:sz w:val="22"/>
          <w:szCs w:val="22"/>
          <w:u w:color="FF0000"/>
        </w:rPr>
        <w:t>twenty (</w:t>
      </w:r>
      <w:r w:rsidR="00CE3795" w:rsidRPr="00411B94">
        <w:rPr>
          <w:sz w:val="22"/>
          <w:szCs w:val="22"/>
          <w:u w:color="FF0000"/>
        </w:rPr>
        <w:t>20</w:t>
      </w:r>
      <w:r w:rsidR="003E7319">
        <w:rPr>
          <w:sz w:val="22"/>
          <w:szCs w:val="22"/>
          <w:u w:color="FF0000"/>
        </w:rPr>
        <w:t>)</w:t>
      </w:r>
      <w:r w:rsidR="00CE3795" w:rsidRPr="00411B94">
        <w:rPr>
          <w:sz w:val="22"/>
          <w:szCs w:val="22"/>
          <w:u w:color="FF0000"/>
        </w:rPr>
        <w:t xml:space="preserve"> points </w:t>
      </w:r>
      <w:r w:rsidR="00C6352F" w:rsidRPr="00411B94">
        <w:rPr>
          <w:sz w:val="22"/>
          <w:szCs w:val="22"/>
          <w:u w:color="FF0000"/>
        </w:rPr>
        <w:t xml:space="preserve">may </w:t>
      </w:r>
      <w:r w:rsidR="00CE3795" w:rsidRPr="00411B94">
        <w:rPr>
          <w:sz w:val="22"/>
          <w:szCs w:val="22"/>
          <w:u w:color="FF0000"/>
        </w:rPr>
        <w:t xml:space="preserve">be awarded </w:t>
      </w:r>
      <w:r w:rsidR="001B4680" w:rsidRPr="00411B94">
        <w:rPr>
          <w:sz w:val="22"/>
          <w:szCs w:val="22"/>
          <w:u w:color="FF0000"/>
        </w:rPr>
        <w:t xml:space="preserve">in </w:t>
      </w:r>
      <w:r w:rsidR="00CE3795" w:rsidRPr="00411B94">
        <w:rPr>
          <w:sz w:val="22"/>
          <w:szCs w:val="22"/>
          <w:u w:color="FF0000"/>
        </w:rPr>
        <w:t>this category</w:t>
      </w:r>
      <w:r w:rsidR="00BA67B4">
        <w:rPr>
          <w:sz w:val="22"/>
          <w:szCs w:val="22"/>
          <w:u w:color="FF0000"/>
        </w:rPr>
        <w:t xml:space="preserve"> as follows:</w:t>
      </w:r>
    </w:p>
    <w:p w:rsidR="00083059" w:rsidRPr="00083059" w:rsidRDefault="00083059" w:rsidP="00793F44">
      <w:pPr>
        <w:pStyle w:val="Header"/>
        <w:numPr>
          <w:ilvl w:val="0"/>
          <w:numId w:val="63"/>
        </w:numPr>
        <w:tabs>
          <w:tab w:val="clear" w:pos="4320"/>
          <w:tab w:val="clear" w:pos="8640"/>
        </w:tabs>
        <w:spacing w:line="240" w:lineRule="auto"/>
        <w:rPr>
          <w:color w:val="FF0000"/>
          <w:sz w:val="22"/>
          <w:szCs w:val="22"/>
        </w:rPr>
      </w:pPr>
      <w:r w:rsidRPr="00083059">
        <w:rPr>
          <w:color w:val="FF0000"/>
          <w:sz w:val="22"/>
          <w:szCs w:val="22"/>
          <w:u w:val="single"/>
        </w:rPr>
        <w:t>Community Revitalization Plan</w:t>
      </w:r>
      <w:r w:rsidRPr="00083059">
        <w:rPr>
          <w:color w:val="FF0000"/>
          <w:sz w:val="22"/>
          <w:szCs w:val="22"/>
        </w:rPr>
        <w:t xml:space="preserve"> – The Agency may award five (5) points for developments contributing to an existing community revitalization plan.  To</w:t>
      </w:r>
      <w:r w:rsidRPr="00733D2B">
        <w:rPr>
          <w:color w:val="FF0000"/>
          <w:sz w:val="22"/>
          <w:szCs w:val="22"/>
        </w:rPr>
        <w:t xml:space="preserve"> qualify</w:t>
      </w:r>
      <w:r w:rsidRPr="00083059">
        <w:rPr>
          <w:color w:val="FF0000"/>
          <w:sz w:val="22"/>
          <w:szCs w:val="22"/>
        </w:rPr>
        <w:t xml:space="preserve"> for points in this category, the applicant must submit a letter from an official of the local government explaining how the development will contribute to the community revitalization plan.  The letter should be specific to the proposal and must identify the official title of the community revitalization plan along with the year in which it was adopted.  The Agency may accept a copy of the community revitalization plan in lieu of a letter from the local government in the event the developer is unable to obtain such a letter. A county or municipal zoning or land use plan does not qualify as a community revitalization plan.</w:t>
      </w:r>
    </w:p>
    <w:p w:rsidR="00083059" w:rsidRPr="00083059" w:rsidRDefault="00083059" w:rsidP="00083059">
      <w:pPr>
        <w:pStyle w:val="Header"/>
        <w:tabs>
          <w:tab w:val="clear" w:pos="4320"/>
          <w:tab w:val="clear" w:pos="8640"/>
        </w:tabs>
        <w:spacing w:line="240" w:lineRule="auto"/>
        <w:rPr>
          <w:color w:val="FF0000"/>
          <w:sz w:val="22"/>
          <w:szCs w:val="22"/>
          <w:u w:val="single"/>
        </w:rPr>
      </w:pPr>
    </w:p>
    <w:p w:rsidR="00083059" w:rsidRPr="00083059" w:rsidRDefault="00083059" w:rsidP="00793F44">
      <w:pPr>
        <w:pStyle w:val="Header"/>
        <w:numPr>
          <w:ilvl w:val="0"/>
          <w:numId w:val="63"/>
        </w:numPr>
        <w:tabs>
          <w:tab w:val="clear" w:pos="4320"/>
          <w:tab w:val="clear" w:pos="8640"/>
        </w:tabs>
        <w:spacing w:line="240" w:lineRule="auto"/>
        <w:rPr>
          <w:color w:val="FF0000"/>
          <w:sz w:val="22"/>
          <w:szCs w:val="22"/>
        </w:rPr>
      </w:pPr>
      <w:r w:rsidRPr="00083059">
        <w:rPr>
          <w:color w:val="FF0000"/>
          <w:sz w:val="22"/>
          <w:szCs w:val="22"/>
          <w:u w:val="single"/>
        </w:rPr>
        <w:t>Significant Funding Commitments and Coordination with Other Housing and Community and Economic Development Programs</w:t>
      </w:r>
      <w:r w:rsidRPr="00083059">
        <w:rPr>
          <w:color w:val="FF0000"/>
          <w:sz w:val="22"/>
          <w:szCs w:val="22"/>
        </w:rPr>
        <w:t xml:space="preserve"> – The Agency may award up to five (5) points to proposals that demonstrate further coordination between other housing and community and economic development programs stated above and evidence of significant funding commitments as part of the major investment in the area.</w:t>
      </w:r>
    </w:p>
    <w:p w:rsidR="00083059" w:rsidRPr="00083059" w:rsidRDefault="00083059" w:rsidP="00083059">
      <w:pPr>
        <w:pStyle w:val="Header"/>
        <w:tabs>
          <w:tab w:val="clear" w:pos="4320"/>
          <w:tab w:val="clear" w:pos="8640"/>
        </w:tabs>
        <w:spacing w:line="240" w:lineRule="auto"/>
        <w:ind w:left="1800"/>
        <w:rPr>
          <w:color w:val="FF0000"/>
          <w:sz w:val="22"/>
          <w:szCs w:val="22"/>
        </w:rPr>
      </w:pPr>
    </w:p>
    <w:p w:rsidR="00083059" w:rsidRPr="00083059" w:rsidRDefault="00083059" w:rsidP="00793F44">
      <w:pPr>
        <w:pStyle w:val="Header"/>
        <w:numPr>
          <w:ilvl w:val="0"/>
          <w:numId w:val="63"/>
        </w:numPr>
        <w:tabs>
          <w:tab w:val="clear" w:pos="4320"/>
          <w:tab w:val="clear" w:pos="8640"/>
        </w:tabs>
        <w:spacing w:line="240" w:lineRule="auto"/>
        <w:rPr>
          <w:color w:val="FF0000"/>
          <w:sz w:val="22"/>
          <w:szCs w:val="22"/>
        </w:rPr>
      </w:pPr>
      <w:r w:rsidRPr="00083059">
        <w:rPr>
          <w:color w:val="FF0000"/>
          <w:sz w:val="22"/>
          <w:szCs w:val="22"/>
          <w:u w:val="single"/>
        </w:rPr>
        <w:t>Mixed-Income Housing</w:t>
      </w:r>
      <w:r w:rsidRPr="00083059">
        <w:rPr>
          <w:color w:val="FF0000"/>
          <w:sz w:val="22"/>
          <w:szCs w:val="22"/>
        </w:rPr>
        <w:t xml:space="preserve"> – The Agency may award up to two (2) points for developments which incorporate market rate units as part of the unit mix.  In order to qualify for points, at a minimum fifteen percent (15%) of the units shall be targeted as market rate units.</w:t>
      </w:r>
    </w:p>
    <w:p w:rsidR="00083059" w:rsidRPr="00083059" w:rsidRDefault="00083059" w:rsidP="00083059">
      <w:pPr>
        <w:pStyle w:val="Header"/>
        <w:tabs>
          <w:tab w:val="clear" w:pos="4320"/>
          <w:tab w:val="clear" w:pos="8640"/>
        </w:tabs>
        <w:spacing w:line="240" w:lineRule="auto"/>
        <w:ind w:left="1080"/>
        <w:rPr>
          <w:color w:val="FF0000"/>
          <w:sz w:val="22"/>
          <w:szCs w:val="22"/>
        </w:rPr>
      </w:pPr>
    </w:p>
    <w:p w:rsidR="00083059" w:rsidRPr="00083059" w:rsidRDefault="00083059" w:rsidP="00793F44">
      <w:pPr>
        <w:pStyle w:val="Header"/>
        <w:numPr>
          <w:ilvl w:val="0"/>
          <w:numId w:val="63"/>
        </w:numPr>
        <w:tabs>
          <w:tab w:val="clear" w:pos="4320"/>
          <w:tab w:val="clear" w:pos="8640"/>
        </w:tabs>
        <w:spacing w:line="240" w:lineRule="auto"/>
        <w:rPr>
          <w:color w:val="FF0000"/>
          <w:sz w:val="22"/>
          <w:szCs w:val="22"/>
        </w:rPr>
      </w:pPr>
      <w:r w:rsidRPr="00083059">
        <w:rPr>
          <w:color w:val="FF0000"/>
          <w:sz w:val="22"/>
          <w:szCs w:val="22"/>
          <w:u w:val="single"/>
        </w:rPr>
        <w:t>Transit-Oriented Design</w:t>
      </w:r>
      <w:r w:rsidRPr="00083059">
        <w:rPr>
          <w:color w:val="FF0000"/>
          <w:sz w:val="22"/>
          <w:szCs w:val="22"/>
        </w:rPr>
        <w:t xml:space="preserve"> – The Agency may award up to two (2) points to developments located within one-half mile of a completed or planned public transportation fixed route stop.</w:t>
      </w:r>
    </w:p>
    <w:p w:rsidR="00083059" w:rsidRPr="00083059" w:rsidRDefault="00083059" w:rsidP="00083059">
      <w:pPr>
        <w:pStyle w:val="Header"/>
        <w:tabs>
          <w:tab w:val="clear" w:pos="4320"/>
          <w:tab w:val="clear" w:pos="8640"/>
        </w:tabs>
        <w:spacing w:line="240" w:lineRule="auto"/>
        <w:ind w:left="1800"/>
        <w:rPr>
          <w:color w:val="FF0000"/>
          <w:sz w:val="22"/>
          <w:szCs w:val="22"/>
          <w:u w:val="single"/>
        </w:rPr>
      </w:pPr>
    </w:p>
    <w:p w:rsidR="00083059" w:rsidRPr="00083059" w:rsidRDefault="00083059" w:rsidP="00793F44">
      <w:pPr>
        <w:pStyle w:val="Header"/>
        <w:numPr>
          <w:ilvl w:val="0"/>
          <w:numId w:val="63"/>
        </w:numPr>
        <w:tabs>
          <w:tab w:val="clear" w:pos="4320"/>
          <w:tab w:val="clear" w:pos="8640"/>
        </w:tabs>
        <w:spacing w:line="240" w:lineRule="auto"/>
        <w:rPr>
          <w:color w:val="FF0000"/>
          <w:sz w:val="22"/>
          <w:szCs w:val="22"/>
        </w:rPr>
      </w:pPr>
      <w:r w:rsidRPr="00083059">
        <w:rPr>
          <w:color w:val="FF0000"/>
          <w:sz w:val="22"/>
          <w:szCs w:val="22"/>
          <w:u w:val="single"/>
        </w:rPr>
        <w:t>Walkability</w:t>
      </w:r>
      <w:r w:rsidRPr="00083059">
        <w:rPr>
          <w:color w:val="FF0000"/>
          <w:sz w:val="22"/>
          <w:szCs w:val="22"/>
        </w:rPr>
        <w:t xml:space="preserve"> – The Agency may award up to two (2) points for developments which have the following walk scores according to </w:t>
      </w:r>
      <w:hyperlink r:id="rId13" w:history="1">
        <w:r w:rsidR="0049091C" w:rsidRPr="0090150E">
          <w:rPr>
            <w:rStyle w:val="Hyperlink"/>
            <w:color w:val="FF0000"/>
          </w:rPr>
          <w:t>www.walkscore.com</w:t>
        </w:r>
      </w:hyperlink>
      <w:r w:rsidRPr="00083059">
        <w:rPr>
          <w:color w:val="FF0000"/>
          <w:sz w:val="22"/>
          <w:szCs w:val="22"/>
        </w:rPr>
        <w:t xml:space="preserve"> (for scattered site projects, a walk score will be obtained for each site and a weighted average based upon number of units at each site will be calculated): </w:t>
      </w:r>
    </w:p>
    <w:p w:rsidR="00793F44" w:rsidRDefault="00793F44">
      <w:pPr>
        <w:widowControl/>
        <w:adjustRightInd/>
        <w:spacing w:line="240" w:lineRule="auto"/>
        <w:jc w:val="left"/>
        <w:textAlignment w:val="auto"/>
        <w:rPr>
          <w:color w:val="FF0000"/>
          <w:sz w:val="22"/>
          <w:szCs w:val="22"/>
        </w:rPr>
      </w:pPr>
      <w:r>
        <w:rPr>
          <w:color w:val="FF0000"/>
          <w:sz w:val="22"/>
          <w:szCs w:val="22"/>
        </w:rPr>
        <w:br w:type="page"/>
      </w:r>
    </w:p>
    <w:p w:rsidR="00083059" w:rsidRPr="00083059" w:rsidRDefault="00083059" w:rsidP="00083059">
      <w:pPr>
        <w:pStyle w:val="Header"/>
        <w:tabs>
          <w:tab w:val="clear" w:pos="4320"/>
          <w:tab w:val="clear" w:pos="8640"/>
        </w:tabs>
        <w:spacing w:line="240" w:lineRule="auto"/>
        <w:ind w:left="1080"/>
        <w:rPr>
          <w:color w:val="FF0000"/>
          <w:sz w:val="22"/>
          <w:szCs w:val="22"/>
        </w:rPr>
      </w:pPr>
    </w:p>
    <w:p w:rsidR="00083059" w:rsidRPr="00083059" w:rsidRDefault="00083059" w:rsidP="00083059">
      <w:pPr>
        <w:pStyle w:val="Header"/>
        <w:tabs>
          <w:tab w:val="clear" w:pos="4320"/>
          <w:tab w:val="clear" w:pos="8640"/>
        </w:tabs>
        <w:spacing w:line="240" w:lineRule="auto"/>
        <w:ind w:left="1080"/>
        <w:rPr>
          <w:color w:val="FF0000"/>
          <w:sz w:val="22"/>
          <w:szCs w:val="22"/>
        </w:rPr>
      </w:pPr>
    </w:p>
    <w:p w:rsidR="00EB5C51" w:rsidRPr="008B361E" w:rsidRDefault="00D2410C" w:rsidP="00D2410C">
      <w:pPr>
        <w:pStyle w:val="Header"/>
        <w:tabs>
          <w:tab w:val="clear" w:pos="4320"/>
          <w:tab w:val="clear" w:pos="8640"/>
        </w:tabs>
        <w:spacing w:after="120" w:line="240" w:lineRule="auto"/>
        <w:ind w:left="2160" w:firstLine="360"/>
        <w:rPr>
          <w:b/>
          <w:color w:val="FF0000"/>
          <w:sz w:val="22"/>
          <w:szCs w:val="22"/>
          <w:u w:val="single"/>
        </w:rPr>
      </w:pPr>
      <w:r w:rsidRPr="00D2410C">
        <w:rPr>
          <w:b/>
          <w:color w:val="FF0000"/>
          <w:sz w:val="22"/>
          <w:szCs w:val="22"/>
        </w:rPr>
        <w:t xml:space="preserve">        </w:t>
      </w:r>
      <w:r w:rsidR="00083059" w:rsidRPr="00083059">
        <w:rPr>
          <w:b/>
          <w:color w:val="FF0000"/>
          <w:sz w:val="22"/>
          <w:szCs w:val="22"/>
          <w:u w:val="single"/>
        </w:rPr>
        <w:t>Urban</w:t>
      </w:r>
      <w:r w:rsidR="00083059" w:rsidRPr="00083059">
        <w:rPr>
          <w:b/>
          <w:color w:val="FF0000"/>
          <w:sz w:val="22"/>
          <w:szCs w:val="22"/>
          <w:u w:val="single"/>
        </w:rPr>
        <w:tab/>
      </w:r>
      <w:r w:rsidR="00083059" w:rsidRPr="00083059">
        <w:rPr>
          <w:color w:val="FF0000"/>
          <w:sz w:val="22"/>
          <w:szCs w:val="22"/>
        </w:rPr>
        <w:t xml:space="preserve">   </w:t>
      </w:r>
      <w:r w:rsidR="00083059" w:rsidRPr="00083059">
        <w:rPr>
          <w:color w:val="FF0000"/>
          <w:sz w:val="22"/>
          <w:szCs w:val="22"/>
        </w:rPr>
        <w:tab/>
      </w:r>
      <w:r w:rsidR="00083059" w:rsidRPr="00083059">
        <w:rPr>
          <w:color w:val="FF0000"/>
          <w:sz w:val="22"/>
          <w:szCs w:val="22"/>
        </w:rPr>
        <w:tab/>
      </w:r>
      <w:r w:rsidR="00083059" w:rsidRPr="00083059">
        <w:rPr>
          <w:color w:val="FF0000"/>
          <w:sz w:val="22"/>
          <w:szCs w:val="22"/>
        </w:rPr>
        <w:tab/>
      </w:r>
      <w:r w:rsidR="00083059" w:rsidRPr="00083059">
        <w:rPr>
          <w:color w:val="FF0000"/>
          <w:sz w:val="22"/>
          <w:szCs w:val="22"/>
        </w:rPr>
        <w:tab/>
      </w:r>
      <w:r w:rsidR="00083059" w:rsidRPr="00083059">
        <w:rPr>
          <w:color w:val="FF0000"/>
          <w:sz w:val="22"/>
          <w:szCs w:val="22"/>
        </w:rPr>
        <w:tab/>
      </w:r>
      <w:r w:rsidR="00083059" w:rsidRPr="00083059">
        <w:rPr>
          <w:b/>
          <w:color w:val="FF0000"/>
          <w:sz w:val="22"/>
          <w:szCs w:val="22"/>
        </w:rPr>
        <w:t xml:space="preserve">              </w:t>
      </w:r>
      <w:r w:rsidR="00083059" w:rsidRPr="00083059">
        <w:rPr>
          <w:b/>
          <w:color w:val="FF0000"/>
          <w:sz w:val="22"/>
          <w:szCs w:val="22"/>
          <w:u w:val="single"/>
        </w:rPr>
        <w:t>Suburban/Rural</w:t>
      </w:r>
    </w:p>
    <w:tbl>
      <w:tblPr>
        <w:tblW w:w="0" w:type="auto"/>
        <w:tblInd w:w="1728" w:type="dxa"/>
        <w:tblLayout w:type="fixed"/>
        <w:tblLook w:val="0000" w:firstRow="0" w:lastRow="0" w:firstColumn="0" w:lastColumn="0" w:noHBand="0" w:noVBand="0"/>
      </w:tblPr>
      <w:tblGrid>
        <w:gridCol w:w="1532"/>
        <w:gridCol w:w="360"/>
        <w:gridCol w:w="1620"/>
        <w:gridCol w:w="1620"/>
        <w:gridCol w:w="1620"/>
      </w:tblGrid>
      <w:tr w:rsidR="00EB5C51" w:rsidRPr="008B361E" w:rsidTr="00D2410C">
        <w:tc>
          <w:tcPr>
            <w:tcW w:w="1532" w:type="dxa"/>
          </w:tcPr>
          <w:p w:rsidR="00EB5C51" w:rsidRPr="008B361E" w:rsidRDefault="00083059" w:rsidP="00EB5C51">
            <w:pPr>
              <w:pStyle w:val="Header"/>
              <w:tabs>
                <w:tab w:val="clear" w:pos="4320"/>
                <w:tab w:val="clear" w:pos="8640"/>
              </w:tabs>
              <w:spacing w:line="240" w:lineRule="auto"/>
              <w:ind w:left="28"/>
              <w:jc w:val="center"/>
              <w:rPr>
                <w:b/>
                <w:color w:val="FF0000"/>
                <w:sz w:val="22"/>
                <w:szCs w:val="22"/>
                <w:u w:val="single"/>
              </w:rPr>
            </w:pPr>
            <w:r w:rsidRPr="00083059">
              <w:rPr>
                <w:b/>
                <w:color w:val="FF0000"/>
                <w:sz w:val="22"/>
                <w:szCs w:val="22"/>
                <w:u w:val="single"/>
              </w:rPr>
              <w:t>Percentage</w:t>
            </w:r>
          </w:p>
        </w:tc>
        <w:tc>
          <w:tcPr>
            <w:tcW w:w="360" w:type="dxa"/>
          </w:tcPr>
          <w:p w:rsidR="00EB5C51" w:rsidRPr="008B361E" w:rsidRDefault="00EB5C51" w:rsidP="00EB5C51">
            <w:pPr>
              <w:pStyle w:val="Header"/>
              <w:tabs>
                <w:tab w:val="clear" w:pos="4320"/>
                <w:tab w:val="clear" w:pos="8640"/>
              </w:tabs>
              <w:spacing w:line="240" w:lineRule="auto"/>
              <w:jc w:val="center"/>
              <w:rPr>
                <w:b/>
                <w:color w:val="FF0000"/>
                <w:sz w:val="22"/>
                <w:szCs w:val="22"/>
                <w:u w:val="single"/>
              </w:rPr>
            </w:pPr>
          </w:p>
        </w:tc>
        <w:tc>
          <w:tcPr>
            <w:tcW w:w="1620" w:type="dxa"/>
          </w:tcPr>
          <w:p w:rsidR="00EB5C51" w:rsidRPr="008B361E" w:rsidRDefault="00083059" w:rsidP="00EB5C51">
            <w:pPr>
              <w:pStyle w:val="Header"/>
              <w:tabs>
                <w:tab w:val="clear" w:pos="4320"/>
                <w:tab w:val="clear" w:pos="8640"/>
              </w:tabs>
              <w:spacing w:line="240" w:lineRule="auto"/>
              <w:jc w:val="center"/>
              <w:rPr>
                <w:b/>
                <w:color w:val="FF0000"/>
                <w:sz w:val="22"/>
                <w:szCs w:val="22"/>
                <w:u w:val="single"/>
              </w:rPr>
            </w:pPr>
            <w:r w:rsidRPr="00083059">
              <w:rPr>
                <w:b/>
                <w:color w:val="FF0000"/>
                <w:sz w:val="22"/>
                <w:szCs w:val="22"/>
                <w:u w:val="single"/>
              </w:rPr>
              <w:t>Points</w:t>
            </w:r>
          </w:p>
        </w:tc>
        <w:tc>
          <w:tcPr>
            <w:tcW w:w="1620" w:type="dxa"/>
          </w:tcPr>
          <w:p w:rsidR="00EB5C51" w:rsidRPr="008B361E" w:rsidRDefault="00083059" w:rsidP="00EB5C51">
            <w:pPr>
              <w:pStyle w:val="Header"/>
              <w:tabs>
                <w:tab w:val="clear" w:pos="4320"/>
                <w:tab w:val="clear" w:pos="8640"/>
              </w:tabs>
              <w:spacing w:line="240" w:lineRule="auto"/>
              <w:jc w:val="center"/>
              <w:rPr>
                <w:b/>
                <w:color w:val="FF0000"/>
                <w:sz w:val="22"/>
                <w:szCs w:val="22"/>
                <w:u w:val="single"/>
              </w:rPr>
            </w:pPr>
            <w:r w:rsidRPr="00083059">
              <w:rPr>
                <w:b/>
                <w:color w:val="FF0000"/>
                <w:sz w:val="22"/>
                <w:szCs w:val="22"/>
                <w:u w:val="single"/>
              </w:rPr>
              <w:t>Percentage</w:t>
            </w:r>
          </w:p>
        </w:tc>
        <w:tc>
          <w:tcPr>
            <w:tcW w:w="1620" w:type="dxa"/>
          </w:tcPr>
          <w:p w:rsidR="00EB5C51" w:rsidRPr="008B361E" w:rsidRDefault="00083059" w:rsidP="00EB5C51">
            <w:pPr>
              <w:pStyle w:val="Header"/>
              <w:tabs>
                <w:tab w:val="clear" w:pos="4320"/>
                <w:tab w:val="clear" w:pos="8640"/>
              </w:tabs>
              <w:spacing w:line="240" w:lineRule="auto"/>
              <w:jc w:val="center"/>
              <w:rPr>
                <w:b/>
                <w:color w:val="FF0000"/>
                <w:sz w:val="22"/>
                <w:szCs w:val="22"/>
                <w:u w:val="single"/>
              </w:rPr>
            </w:pPr>
            <w:r w:rsidRPr="00083059">
              <w:rPr>
                <w:b/>
                <w:color w:val="FF0000"/>
                <w:sz w:val="22"/>
                <w:szCs w:val="22"/>
                <w:u w:val="single"/>
              </w:rPr>
              <w:t>Points</w:t>
            </w:r>
          </w:p>
        </w:tc>
      </w:tr>
      <w:tr w:rsidR="00EB5C51" w:rsidRPr="008B361E" w:rsidTr="00D2410C">
        <w:tc>
          <w:tcPr>
            <w:tcW w:w="1532" w:type="dxa"/>
          </w:tcPr>
          <w:p w:rsidR="00BA67B4" w:rsidRPr="008B361E" w:rsidRDefault="00733D2B">
            <w:pPr>
              <w:pStyle w:val="Header"/>
              <w:tabs>
                <w:tab w:val="clear" w:pos="4320"/>
                <w:tab w:val="clear" w:pos="8640"/>
              </w:tabs>
              <w:spacing w:line="240" w:lineRule="auto"/>
              <w:jc w:val="center"/>
              <w:rPr>
                <w:color w:val="FF0000"/>
                <w:sz w:val="22"/>
                <w:szCs w:val="22"/>
              </w:rPr>
            </w:pPr>
            <w:r>
              <w:rPr>
                <w:color w:val="FF0000"/>
                <w:sz w:val="22"/>
                <w:szCs w:val="22"/>
              </w:rPr>
              <w:t>≥</w:t>
            </w:r>
            <w:r w:rsidR="00083059" w:rsidRPr="00083059">
              <w:rPr>
                <w:color w:val="FF0000"/>
                <w:sz w:val="22"/>
                <w:szCs w:val="22"/>
              </w:rPr>
              <w:t>80</w:t>
            </w:r>
          </w:p>
        </w:tc>
        <w:tc>
          <w:tcPr>
            <w:tcW w:w="360" w:type="dxa"/>
          </w:tcPr>
          <w:p w:rsidR="00EB5C51" w:rsidRPr="008B361E" w:rsidRDefault="00EB5C51" w:rsidP="00EB5C51">
            <w:pPr>
              <w:pStyle w:val="Header"/>
              <w:tabs>
                <w:tab w:val="clear" w:pos="4320"/>
                <w:tab w:val="clear" w:pos="8640"/>
              </w:tabs>
              <w:spacing w:line="240" w:lineRule="auto"/>
              <w:jc w:val="center"/>
              <w:rPr>
                <w:color w:val="FF0000"/>
                <w:sz w:val="22"/>
                <w:szCs w:val="22"/>
              </w:rPr>
            </w:pPr>
          </w:p>
        </w:tc>
        <w:tc>
          <w:tcPr>
            <w:tcW w:w="1620" w:type="dxa"/>
          </w:tcPr>
          <w:p w:rsidR="00BA67B4" w:rsidRPr="008B361E" w:rsidRDefault="00083059">
            <w:pPr>
              <w:pStyle w:val="Header"/>
              <w:tabs>
                <w:tab w:val="clear" w:pos="4320"/>
                <w:tab w:val="clear" w:pos="8640"/>
              </w:tabs>
              <w:spacing w:line="240" w:lineRule="auto"/>
              <w:jc w:val="center"/>
              <w:rPr>
                <w:color w:val="FF0000"/>
                <w:sz w:val="22"/>
                <w:szCs w:val="22"/>
              </w:rPr>
            </w:pPr>
            <w:r w:rsidRPr="00083059">
              <w:rPr>
                <w:color w:val="FF0000"/>
                <w:sz w:val="22"/>
                <w:szCs w:val="22"/>
              </w:rPr>
              <w:t xml:space="preserve"> 2</w:t>
            </w:r>
          </w:p>
        </w:tc>
        <w:tc>
          <w:tcPr>
            <w:tcW w:w="1620" w:type="dxa"/>
          </w:tcPr>
          <w:p w:rsidR="00BA67B4" w:rsidRPr="008B361E" w:rsidRDefault="00733D2B">
            <w:pPr>
              <w:pStyle w:val="Header"/>
              <w:tabs>
                <w:tab w:val="clear" w:pos="4320"/>
                <w:tab w:val="clear" w:pos="8640"/>
              </w:tabs>
              <w:spacing w:line="240" w:lineRule="auto"/>
              <w:jc w:val="center"/>
              <w:rPr>
                <w:color w:val="FF0000"/>
                <w:sz w:val="22"/>
                <w:szCs w:val="22"/>
              </w:rPr>
            </w:pPr>
            <w:r>
              <w:rPr>
                <w:color w:val="FF0000"/>
                <w:sz w:val="22"/>
                <w:szCs w:val="22"/>
              </w:rPr>
              <w:t>≥</w:t>
            </w:r>
            <w:r w:rsidR="00083059" w:rsidRPr="00083059">
              <w:rPr>
                <w:color w:val="FF0000"/>
                <w:sz w:val="22"/>
                <w:szCs w:val="22"/>
              </w:rPr>
              <w:t>70</w:t>
            </w:r>
          </w:p>
        </w:tc>
        <w:tc>
          <w:tcPr>
            <w:tcW w:w="1620" w:type="dxa"/>
          </w:tcPr>
          <w:p w:rsidR="00EB5C51" w:rsidRPr="008B361E" w:rsidRDefault="00083059" w:rsidP="00EB5C51">
            <w:pPr>
              <w:pStyle w:val="Header"/>
              <w:tabs>
                <w:tab w:val="clear" w:pos="4320"/>
                <w:tab w:val="clear" w:pos="8640"/>
              </w:tabs>
              <w:spacing w:line="240" w:lineRule="auto"/>
              <w:jc w:val="center"/>
              <w:rPr>
                <w:color w:val="FF0000"/>
                <w:sz w:val="22"/>
                <w:szCs w:val="22"/>
              </w:rPr>
            </w:pPr>
            <w:r w:rsidRPr="00083059">
              <w:rPr>
                <w:color w:val="FF0000"/>
                <w:sz w:val="22"/>
                <w:szCs w:val="22"/>
              </w:rPr>
              <w:t>2</w:t>
            </w:r>
          </w:p>
        </w:tc>
      </w:tr>
      <w:tr w:rsidR="00EB5C51" w:rsidRPr="008B361E" w:rsidTr="00D2410C">
        <w:tc>
          <w:tcPr>
            <w:tcW w:w="1532" w:type="dxa"/>
          </w:tcPr>
          <w:p w:rsidR="00BA67B4" w:rsidRPr="008B361E" w:rsidRDefault="00733D2B">
            <w:pPr>
              <w:pStyle w:val="Header"/>
              <w:tabs>
                <w:tab w:val="clear" w:pos="4320"/>
                <w:tab w:val="clear" w:pos="8640"/>
              </w:tabs>
              <w:spacing w:line="240" w:lineRule="auto"/>
              <w:jc w:val="center"/>
              <w:rPr>
                <w:color w:val="FF0000"/>
                <w:sz w:val="22"/>
                <w:szCs w:val="22"/>
              </w:rPr>
            </w:pPr>
            <w:r>
              <w:rPr>
                <w:color w:val="FF0000"/>
                <w:sz w:val="22"/>
                <w:szCs w:val="22"/>
              </w:rPr>
              <w:t>≥</w:t>
            </w:r>
            <w:r w:rsidR="00083059" w:rsidRPr="00083059">
              <w:rPr>
                <w:color w:val="FF0000"/>
                <w:sz w:val="22"/>
                <w:szCs w:val="22"/>
              </w:rPr>
              <w:t>70-79</w:t>
            </w:r>
          </w:p>
        </w:tc>
        <w:tc>
          <w:tcPr>
            <w:tcW w:w="360" w:type="dxa"/>
          </w:tcPr>
          <w:p w:rsidR="00EB5C51" w:rsidRPr="008B361E" w:rsidRDefault="00EB5C51" w:rsidP="00EB5C51">
            <w:pPr>
              <w:pStyle w:val="Header"/>
              <w:tabs>
                <w:tab w:val="clear" w:pos="4320"/>
                <w:tab w:val="clear" w:pos="8640"/>
              </w:tabs>
              <w:spacing w:line="240" w:lineRule="auto"/>
              <w:jc w:val="center"/>
              <w:rPr>
                <w:color w:val="FF0000"/>
                <w:sz w:val="22"/>
                <w:szCs w:val="22"/>
              </w:rPr>
            </w:pPr>
          </w:p>
        </w:tc>
        <w:tc>
          <w:tcPr>
            <w:tcW w:w="1620" w:type="dxa"/>
          </w:tcPr>
          <w:p w:rsidR="00EB5C51" w:rsidRPr="008B361E" w:rsidRDefault="00083059" w:rsidP="00EB5C51">
            <w:pPr>
              <w:pStyle w:val="Header"/>
              <w:tabs>
                <w:tab w:val="clear" w:pos="4320"/>
                <w:tab w:val="clear" w:pos="8640"/>
              </w:tabs>
              <w:spacing w:line="240" w:lineRule="auto"/>
              <w:jc w:val="center"/>
              <w:rPr>
                <w:color w:val="FF0000"/>
                <w:sz w:val="22"/>
                <w:szCs w:val="22"/>
              </w:rPr>
            </w:pPr>
            <w:r w:rsidRPr="00083059">
              <w:rPr>
                <w:color w:val="FF0000"/>
                <w:sz w:val="22"/>
                <w:szCs w:val="22"/>
              </w:rPr>
              <w:t xml:space="preserve">1 </w:t>
            </w:r>
          </w:p>
        </w:tc>
        <w:tc>
          <w:tcPr>
            <w:tcW w:w="1620" w:type="dxa"/>
          </w:tcPr>
          <w:p w:rsidR="00083059" w:rsidRPr="00083059" w:rsidRDefault="00083059" w:rsidP="00733D2B">
            <w:pPr>
              <w:pStyle w:val="Header"/>
              <w:tabs>
                <w:tab w:val="clear" w:pos="4320"/>
                <w:tab w:val="clear" w:pos="8640"/>
                <w:tab w:val="left" w:pos="252"/>
                <w:tab w:val="center" w:pos="702"/>
              </w:tabs>
              <w:spacing w:line="240" w:lineRule="auto"/>
              <w:jc w:val="left"/>
              <w:rPr>
                <w:color w:val="FF0000"/>
                <w:sz w:val="22"/>
                <w:szCs w:val="22"/>
              </w:rPr>
            </w:pPr>
            <w:r w:rsidRPr="00083059">
              <w:rPr>
                <w:color w:val="FF0000"/>
                <w:sz w:val="22"/>
                <w:szCs w:val="22"/>
              </w:rPr>
              <w:tab/>
            </w:r>
            <w:r w:rsidRPr="00083059">
              <w:rPr>
                <w:color w:val="FF0000"/>
                <w:sz w:val="22"/>
                <w:szCs w:val="22"/>
              </w:rPr>
              <w:tab/>
            </w:r>
            <w:r w:rsidR="00733D2B">
              <w:rPr>
                <w:color w:val="FF0000"/>
                <w:sz w:val="22"/>
                <w:szCs w:val="22"/>
              </w:rPr>
              <w:t>≥</w:t>
            </w:r>
            <w:r w:rsidRPr="00083059">
              <w:rPr>
                <w:color w:val="FF0000"/>
                <w:sz w:val="22"/>
                <w:szCs w:val="22"/>
              </w:rPr>
              <w:t>50-69</w:t>
            </w:r>
          </w:p>
        </w:tc>
        <w:tc>
          <w:tcPr>
            <w:tcW w:w="1620" w:type="dxa"/>
          </w:tcPr>
          <w:p w:rsidR="00EB5C51" w:rsidRPr="008B361E" w:rsidRDefault="00083059" w:rsidP="00EB5C51">
            <w:pPr>
              <w:pStyle w:val="Header"/>
              <w:tabs>
                <w:tab w:val="clear" w:pos="4320"/>
                <w:tab w:val="clear" w:pos="8640"/>
              </w:tabs>
              <w:spacing w:line="240" w:lineRule="auto"/>
              <w:jc w:val="center"/>
              <w:rPr>
                <w:color w:val="FF0000"/>
                <w:sz w:val="22"/>
                <w:szCs w:val="22"/>
              </w:rPr>
            </w:pPr>
            <w:r w:rsidRPr="00083059">
              <w:rPr>
                <w:color w:val="FF0000"/>
                <w:sz w:val="22"/>
                <w:szCs w:val="22"/>
              </w:rPr>
              <w:t>1</w:t>
            </w:r>
          </w:p>
        </w:tc>
      </w:tr>
      <w:tr w:rsidR="00EB5C51" w:rsidRPr="008B361E" w:rsidTr="00D2410C">
        <w:tc>
          <w:tcPr>
            <w:tcW w:w="1532" w:type="dxa"/>
          </w:tcPr>
          <w:p w:rsidR="00EB5C51" w:rsidRPr="008B361E" w:rsidRDefault="00EB5C51" w:rsidP="00EB5C51">
            <w:pPr>
              <w:pStyle w:val="Header"/>
              <w:tabs>
                <w:tab w:val="clear" w:pos="4320"/>
                <w:tab w:val="clear" w:pos="8640"/>
              </w:tabs>
              <w:spacing w:line="240" w:lineRule="auto"/>
              <w:jc w:val="center"/>
              <w:rPr>
                <w:color w:val="FF0000"/>
                <w:sz w:val="22"/>
                <w:szCs w:val="22"/>
              </w:rPr>
            </w:pPr>
          </w:p>
        </w:tc>
        <w:tc>
          <w:tcPr>
            <w:tcW w:w="360" w:type="dxa"/>
          </w:tcPr>
          <w:p w:rsidR="00EB5C51" w:rsidRPr="008B361E" w:rsidRDefault="00EB5C51" w:rsidP="00EB5C51">
            <w:pPr>
              <w:pStyle w:val="Header"/>
              <w:tabs>
                <w:tab w:val="clear" w:pos="4320"/>
                <w:tab w:val="clear" w:pos="8640"/>
              </w:tabs>
              <w:spacing w:line="240" w:lineRule="auto"/>
              <w:jc w:val="center"/>
              <w:rPr>
                <w:color w:val="FF0000"/>
                <w:sz w:val="22"/>
                <w:szCs w:val="22"/>
              </w:rPr>
            </w:pPr>
          </w:p>
        </w:tc>
        <w:tc>
          <w:tcPr>
            <w:tcW w:w="1620" w:type="dxa"/>
          </w:tcPr>
          <w:p w:rsidR="00EB5C51" w:rsidRPr="008B361E" w:rsidRDefault="00EB5C51" w:rsidP="00EB5C51">
            <w:pPr>
              <w:pStyle w:val="Header"/>
              <w:tabs>
                <w:tab w:val="clear" w:pos="4320"/>
                <w:tab w:val="clear" w:pos="8640"/>
              </w:tabs>
              <w:spacing w:line="240" w:lineRule="auto"/>
              <w:jc w:val="center"/>
              <w:rPr>
                <w:color w:val="FF0000"/>
                <w:sz w:val="22"/>
                <w:szCs w:val="22"/>
              </w:rPr>
            </w:pPr>
          </w:p>
        </w:tc>
        <w:tc>
          <w:tcPr>
            <w:tcW w:w="1620" w:type="dxa"/>
          </w:tcPr>
          <w:p w:rsidR="00EB5C51" w:rsidRPr="008B361E" w:rsidRDefault="00EB5C51" w:rsidP="00EB5C51">
            <w:pPr>
              <w:pStyle w:val="Header"/>
              <w:tabs>
                <w:tab w:val="clear" w:pos="4320"/>
                <w:tab w:val="clear" w:pos="8640"/>
              </w:tabs>
              <w:spacing w:line="240" w:lineRule="auto"/>
              <w:jc w:val="center"/>
              <w:rPr>
                <w:color w:val="FF0000"/>
                <w:sz w:val="22"/>
                <w:szCs w:val="22"/>
              </w:rPr>
            </w:pPr>
          </w:p>
        </w:tc>
        <w:tc>
          <w:tcPr>
            <w:tcW w:w="1620" w:type="dxa"/>
          </w:tcPr>
          <w:p w:rsidR="00EB5C51" w:rsidRPr="008B361E" w:rsidRDefault="00EB5C51" w:rsidP="00EB5C51">
            <w:pPr>
              <w:pStyle w:val="Header"/>
              <w:tabs>
                <w:tab w:val="clear" w:pos="4320"/>
                <w:tab w:val="clear" w:pos="8640"/>
              </w:tabs>
              <w:spacing w:line="240" w:lineRule="auto"/>
              <w:jc w:val="center"/>
              <w:rPr>
                <w:color w:val="FF0000"/>
                <w:sz w:val="22"/>
                <w:szCs w:val="22"/>
              </w:rPr>
            </w:pPr>
          </w:p>
        </w:tc>
      </w:tr>
    </w:tbl>
    <w:p w:rsidR="00083059" w:rsidRPr="00083059" w:rsidRDefault="00083059" w:rsidP="00083059">
      <w:pPr>
        <w:pStyle w:val="Header"/>
        <w:tabs>
          <w:tab w:val="clear" w:pos="4320"/>
          <w:tab w:val="clear" w:pos="8640"/>
        </w:tabs>
        <w:spacing w:line="240" w:lineRule="auto"/>
        <w:ind w:left="1080"/>
        <w:rPr>
          <w:color w:val="FF0000"/>
          <w:sz w:val="22"/>
          <w:szCs w:val="22"/>
        </w:rPr>
      </w:pPr>
    </w:p>
    <w:p w:rsidR="00083059" w:rsidRPr="00083059" w:rsidRDefault="00083059" w:rsidP="00793F44">
      <w:pPr>
        <w:pStyle w:val="Header"/>
        <w:numPr>
          <w:ilvl w:val="0"/>
          <w:numId w:val="64"/>
        </w:numPr>
        <w:tabs>
          <w:tab w:val="clear" w:pos="4320"/>
          <w:tab w:val="clear" w:pos="8640"/>
        </w:tabs>
        <w:spacing w:line="240" w:lineRule="auto"/>
        <w:ind w:left="1800"/>
        <w:rPr>
          <w:color w:val="FF0000"/>
          <w:sz w:val="22"/>
          <w:szCs w:val="22"/>
        </w:rPr>
      </w:pPr>
      <w:r w:rsidRPr="00083059">
        <w:rPr>
          <w:color w:val="FF0000"/>
          <w:sz w:val="22"/>
          <w:szCs w:val="22"/>
          <w:u w:val="single"/>
        </w:rPr>
        <w:t>Site</w:t>
      </w:r>
      <w:r w:rsidRPr="00083059">
        <w:rPr>
          <w:color w:val="FF0000"/>
          <w:sz w:val="22"/>
          <w:szCs w:val="22"/>
        </w:rPr>
        <w:t xml:space="preserve"> – The Agency may award up to four (4) point</w:t>
      </w:r>
      <w:r w:rsidR="00965370">
        <w:rPr>
          <w:color w:val="FF0000"/>
          <w:sz w:val="22"/>
          <w:szCs w:val="22"/>
        </w:rPr>
        <w:t>s</w:t>
      </w:r>
      <w:r w:rsidRPr="00083059">
        <w:rPr>
          <w:color w:val="FF0000"/>
          <w:sz w:val="22"/>
          <w:szCs w:val="22"/>
        </w:rPr>
        <w:t xml:space="preserve"> to developments based upon site suitability for the proposed use.  Site suitability will be based on the following features: unit size mix, including number of efficiency units; neighborhood amenities; access to site; appropriateness of site for targeted tenant population; availability of sufficient parking; location relative to flood plain; neighborhood nuisances; condition of neighborhood; building on agricultural land; if scattered site, overall impact on the neighborhood; completed project’s improvement to or impact on the neighborhood</w:t>
      </w:r>
      <w:r w:rsidR="00B94794">
        <w:rPr>
          <w:color w:val="FF0000"/>
          <w:sz w:val="22"/>
          <w:szCs w:val="22"/>
        </w:rPr>
        <w:t xml:space="preserve"> including</w:t>
      </w:r>
      <w:r w:rsidR="002F6E7A">
        <w:rPr>
          <w:color w:val="FF0000"/>
          <w:sz w:val="22"/>
          <w:szCs w:val="22"/>
        </w:rPr>
        <w:t>,</w:t>
      </w:r>
      <w:r w:rsidR="00B94794">
        <w:rPr>
          <w:color w:val="FF0000"/>
          <w:sz w:val="22"/>
          <w:szCs w:val="22"/>
        </w:rPr>
        <w:t xml:space="preserve"> but not limited to</w:t>
      </w:r>
      <w:r w:rsidR="002F6E7A">
        <w:rPr>
          <w:color w:val="FF0000"/>
          <w:sz w:val="22"/>
          <w:szCs w:val="22"/>
        </w:rPr>
        <w:t>,</w:t>
      </w:r>
      <w:r w:rsidR="00B94794">
        <w:rPr>
          <w:color w:val="FF0000"/>
          <w:sz w:val="22"/>
          <w:szCs w:val="22"/>
        </w:rPr>
        <w:t xml:space="preserve"> crime reduction</w:t>
      </w:r>
      <w:r w:rsidRPr="00083059">
        <w:rPr>
          <w:color w:val="FF0000"/>
          <w:sz w:val="22"/>
          <w:szCs w:val="22"/>
        </w:rPr>
        <w:t>.</w:t>
      </w:r>
    </w:p>
    <w:p w:rsidR="00B50BB2" w:rsidRPr="00411B94" w:rsidRDefault="00B50BB2">
      <w:pPr>
        <w:pStyle w:val="Header"/>
        <w:tabs>
          <w:tab w:val="clear" w:pos="4320"/>
          <w:tab w:val="clear" w:pos="8640"/>
        </w:tabs>
        <w:spacing w:after="240" w:line="240" w:lineRule="auto"/>
        <w:ind w:left="720"/>
        <w:rPr>
          <w:sz w:val="22"/>
          <w:szCs w:val="22"/>
          <w:u w:color="FF0000"/>
        </w:rPr>
      </w:pPr>
    </w:p>
    <w:p w:rsidR="00932819" w:rsidRPr="00411B94" w:rsidRDefault="000061FE" w:rsidP="00195F80">
      <w:pPr>
        <w:pStyle w:val="Header"/>
        <w:tabs>
          <w:tab w:val="clear" w:pos="4320"/>
          <w:tab w:val="clear" w:pos="8640"/>
        </w:tabs>
        <w:spacing w:after="120" w:line="240" w:lineRule="auto"/>
        <w:ind w:left="720"/>
        <w:rPr>
          <w:sz w:val="22"/>
          <w:szCs w:val="22"/>
          <w:u w:color="FF0000"/>
        </w:rPr>
      </w:pPr>
      <w:proofErr w:type="gramStart"/>
      <w:r>
        <w:rPr>
          <w:sz w:val="22"/>
          <w:szCs w:val="22"/>
          <w:u w:color="FF0000"/>
        </w:rPr>
        <w:t>b</w:t>
      </w:r>
      <w:proofErr w:type="gramEnd"/>
      <w:r>
        <w:rPr>
          <w:sz w:val="22"/>
          <w:szCs w:val="22"/>
          <w:u w:color="FF0000"/>
        </w:rPr>
        <w:t>.</w:t>
      </w:r>
      <w:r w:rsidR="00C95C5C">
        <w:rPr>
          <w:sz w:val="22"/>
          <w:szCs w:val="22"/>
          <w:u w:color="FF0000"/>
        </w:rPr>
        <w:tab/>
      </w:r>
      <w:r w:rsidR="008C6FDB" w:rsidRPr="00411B94">
        <w:rPr>
          <w:sz w:val="22"/>
          <w:szCs w:val="22"/>
          <w:u w:color="FF0000"/>
        </w:rPr>
        <w:t>For Preservation Properties:</w:t>
      </w:r>
    </w:p>
    <w:p w:rsidR="00BA67B4" w:rsidRDefault="008C6FDB" w:rsidP="00FF7EC2">
      <w:pPr>
        <w:pStyle w:val="Header"/>
        <w:tabs>
          <w:tab w:val="clear" w:pos="4320"/>
          <w:tab w:val="clear" w:pos="8640"/>
        </w:tabs>
        <w:spacing w:after="240" w:line="240" w:lineRule="auto"/>
        <w:ind w:left="1080"/>
        <w:rPr>
          <w:sz w:val="22"/>
          <w:szCs w:val="22"/>
          <w:u w:val="single"/>
        </w:rPr>
      </w:pPr>
      <w:r w:rsidRPr="00411B94">
        <w:rPr>
          <w:sz w:val="22"/>
          <w:szCs w:val="22"/>
          <w:u w:color="FF0000"/>
        </w:rPr>
        <w:t xml:space="preserve">Developments seeking consideration for the Preservation Preference must demonstrate the need for </w:t>
      </w:r>
      <w:r w:rsidR="00D6054B" w:rsidRPr="00411B94">
        <w:rPr>
          <w:sz w:val="22"/>
          <w:szCs w:val="22"/>
          <w:u w:color="FF0000"/>
        </w:rPr>
        <w:t>Tax Credits to extend the affordability period of the existing property to ensure the continued availability</w:t>
      </w:r>
      <w:r w:rsidR="005C1278" w:rsidRPr="00411B94">
        <w:rPr>
          <w:sz w:val="22"/>
          <w:szCs w:val="22"/>
          <w:u w:color="FF0000"/>
        </w:rPr>
        <w:t xml:space="preserve"> of long-term subsidy or to </w:t>
      </w:r>
      <w:r w:rsidR="00D6054B" w:rsidRPr="00411B94">
        <w:rPr>
          <w:sz w:val="22"/>
          <w:szCs w:val="22"/>
          <w:u w:color="FF0000"/>
        </w:rPr>
        <w:t xml:space="preserve">address immediate health and safety concerns of the development.  </w:t>
      </w:r>
      <w:r w:rsidR="00516315" w:rsidRPr="00411B94">
        <w:rPr>
          <w:sz w:val="22"/>
          <w:szCs w:val="22"/>
          <w:u w:color="FF0000"/>
        </w:rPr>
        <w:t xml:space="preserve">Points will be awarded based upon the following factors: </w:t>
      </w:r>
      <w:r w:rsidR="007E4C55" w:rsidRPr="00411B94">
        <w:rPr>
          <w:sz w:val="22"/>
          <w:szCs w:val="22"/>
        </w:rPr>
        <w:t xml:space="preserve">ability to convert to market, loss of long-term subsidy, need for immediate health and safety improvements, </w:t>
      </w:r>
      <w:proofErr w:type="gramStart"/>
      <w:r w:rsidR="007E4C55" w:rsidRPr="00411B94">
        <w:rPr>
          <w:sz w:val="22"/>
          <w:szCs w:val="22"/>
        </w:rPr>
        <w:t>good</w:t>
      </w:r>
      <w:proofErr w:type="gramEnd"/>
      <w:r w:rsidR="007E4C55" w:rsidRPr="00411B94">
        <w:rPr>
          <w:sz w:val="22"/>
          <w:szCs w:val="22"/>
        </w:rPr>
        <w:t xml:space="preserve"> faith compliance with original extended use commitments, financial impact of proposed improvements (including energy efficiency upgrades) and economic impact on the existing community.</w:t>
      </w:r>
      <w:r w:rsidR="00516315" w:rsidRPr="00411B94">
        <w:rPr>
          <w:sz w:val="22"/>
          <w:szCs w:val="22"/>
        </w:rPr>
        <w:t xml:space="preserve"> </w:t>
      </w:r>
      <w:r w:rsidR="001B4680" w:rsidRPr="00411B94">
        <w:rPr>
          <w:sz w:val="22"/>
          <w:szCs w:val="22"/>
        </w:rPr>
        <w:t xml:space="preserve">Additional </w:t>
      </w:r>
      <w:r w:rsidR="00416B22" w:rsidRPr="00411B94">
        <w:rPr>
          <w:sz w:val="22"/>
          <w:szCs w:val="22"/>
        </w:rPr>
        <w:t>c</w:t>
      </w:r>
      <w:r w:rsidR="001B4680" w:rsidRPr="00411B94">
        <w:rPr>
          <w:sz w:val="22"/>
          <w:szCs w:val="22"/>
        </w:rPr>
        <w:t>onsideration will be given for those developments which</w:t>
      </w:r>
      <w:r w:rsidR="00DB32B5" w:rsidRPr="00411B94">
        <w:rPr>
          <w:sz w:val="22"/>
          <w:szCs w:val="22"/>
          <w:u w:color="FF0000"/>
        </w:rPr>
        <w:t xml:space="preserve"> include</w:t>
      </w:r>
      <w:r w:rsidR="001B4680" w:rsidRPr="00411B94">
        <w:rPr>
          <w:sz w:val="22"/>
          <w:szCs w:val="22"/>
          <w:u w:color="FF0000"/>
        </w:rPr>
        <w:t xml:space="preserve"> municipal support articulated in a publicly approved community plan or in the form of significant funding commitments, or evidence of substantial major investment in the area that is consistent with a comprehensive plan for neighborhood </w:t>
      </w:r>
      <w:r w:rsidR="001B4680" w:rsidRPr="00411B94">
        <w:rPr>
          <w:sz w:val="22"/>
          <w:szCs w:val="22"/>
        </w:rPr>
        <w:t xml:space="preserve">improvement which may include contributing to a transit oriented design initiative.  Up to 20 points </w:t>
      </w:r>
      <w:r w:rsidR="00C6352F" w:rsidRPr="00411B94">
        <w:rPr>
          <w:sz w:val="22"/>
          <w:szCs w:val="22"/>
        </w:rPr>
        <w:t>may</w:t>
      </w:r>
      <w:r w:rsidR="001B4680" w:rsidRPr="00411B94">
        <w:rPr>
          <w:sz w:val="22"/>
          <w:szCs w:val="22"/>
        </w:rPr>
        <w:t xml:space="preserve"> be awarded in this category</w:t>
      </w:r>
      <w:r w:rsidR="00BA67B4">
        <w:rPr>
          <w:sz w:val="22"/>
          <w:szCs w:val="22"/>
        </w:rPr>
        <w:t xml:space="preserve"> as follows:</w:t>
      </w:r>
    </w:p>
    <w:p w:rsidR="00083059" w:rsidRPr="00083059" w:rsidRDefault="00083059" w:rsidP="00793F44">
      <w:pPr>
        <w:pStyle w:val="Header"/>
        <w:numPr>
          <w:ilvl w:val="0"/>
          <w:numId w:val="65"/>
        </w:numPr>
        <w:tabs>
          <w:tab w:val="clear" w:pos="4320"/>
          <w:tab w:val="clear" w:pos="8640"/>
        </w:tabs>
        <w:spacing w:line="240" w:lineRule="auto"/>
        <w:rPr>
          <w:color w:val="FF0000"/>
          <w:sz w:val="22"/>
          <w:szCs w:val="22"/>
        </w:rPr>
      </w:pPr>
      <w:r w:rsidRPr="00083059">
        <w:rPr>
          <w:color w:val="FF0000"/>
          <w:sz w:val="22"/>
          <w:szCs w:val="22"/>
          <w:u w:val="single"/>
        </w:rPr>
        <w:t>Significant Funding Commitments and Coordination with Other Housing and Community and Economic Development Programs</w:t>
      </w:r>
      <w:r w:rsidRPr="00083059">
        <w:rPr>
          <w:color w:val="FF0000"/>
          <w:sz w:val="22"/>
          <w:szCs w:val="22"/>
        </w:rPr>
        <w:t xml:space="preserve"> – The Agency may award up to </w:t>
      </w:r>
      <w:r w:rsidR="00965370">
        <w:rPr>
          <w:color w:val="FF0000"/>
          <w:sz w:val="22"/>
          <w:szCs w:val="22"/>
        </w:rPr>
        <w:t>three</w:t>
      </w:r>
      <w:r w:rsidRPr="00083059">
        <w:rPr>
          <w:color w:val="FF0000"/>
          <w:sz w:val="22"/>
          <w:szCs w:val="22"/>
        </w:rPr>
        <w:t xml:space="preserve"> (</w:t>
      </w:r>
      <w:r w:rsidR="00965370">
        <w:rPr>
          <w:color w:val="FF0000"/>
          <w:sz w:val="22"/>
          <w:szCs w:val="22"/>
        </w:rPr>
        <w:t>3</w:t>
      </w:r>
      <w:r w:rsidRPr="00083059">
        <w:rPr>
          <w:color w:val="FF0000"/>
          <w:sz w:val="22"/>
          <w:szCs w:val="22"/>
        </w:rPr>
        <w:t>) points to proposals that demonstrate further coordination between other housing and community and economic development programs stated above and evidence of significant funding commitments as part of the major investment in the area.</w:t>
      </w:r>
    </w:p>
    <w:p w:rsidR="00985F06" w:rsidRPr="008B361E" w:rsidRDefault="00985F06" w:rsidP="00BA67B4">
      <w:pPr>
        <w:pStyle w:val="Header"/>
        <w:tabs>
          <w:tab w:val="clear" w:pos="4320"/>
          <w:tab w:val="clear" w:pos="8640"/>
        </w:tabs>
        <w:spacing w:line="240" w:lineRule="auto"/>
        <w:ind w:left="1080"/>
        <w:rPr>
          <w:color w:val="FF0000"/>
          <w:sz w:val="22"/>
          <w:szCs w:val="22"/>
        </w:rPr>
      </w:pPr>
    </w:p>
    <w:p w:rsidR="00083059" w:rsidRPr="00733D2B" w:rsidRDefault="00083059" w:rsidP="00793F44">
      <w:pPr>
        <w:pStyle w:val="Header"/>
        <w:numPr>
          <w:ilvl w:val="0"/>
          <w:numId w:val="65"/>
        </w:numPr>
        <w:tabs>
          <w:tab w:val="clear" w:pos="4320"/>
          <w:tab w:val="clear" w:pos="8640"/>
        </w:tabs>
        <w:spacing w:line="240" w:lineRule="auto"/>
        <w:rPr>
          <w:color w:val="FF0000"/>
          <w:sz w:val="22"/>
          <w:szCs w:val="22"/>
        </w:rPr>
      </w:pPr>
      <w:r w:rsidRPr="00083059">
        <w:rPr>
          <w:color w:val="FF0000"/>
          <w:sz w:val="22"/>
          <w:szCs w:val="22"/>
          <w:u w:val="single"/>
        </w:rPr>
        <w:t>Risk of Loss Due to Market Conversion or Sale</w:t>
      </w:r>
      <w:r w:rsidRPr="00733D2B">
        <w:rPr>
          <w:color w:val="FF0000"/>
          <w:sz w:val="22"/>
          <w:szCs w:val="22"/>
        </w:rPr>
        <w:t xml:space="preserve"> – The Agency may award up to </w:t>
      </w:r>
      <w:r w:rsidR="00534EDE" w:rsidRPr="00733D2B">
        <w:rPr>
          <w:color w:val="FF0000"/>
          <w:sz w:val="22"/>
          <w:szCs w:val="22"/>
        </w:rPr>
        <w:t>four</w:t>
      </w:r>
      <w:r w:rsidRPr="00733D2B">
        <w:rPr>
          <w:color w:val="FF0000"/>
          <w:sz w:val="22"/>
          <w:szCs w:val="22"/>
        </w:rPr>
        <w:t xml:space="preserve"> (</w:t>
      </w:r>
      <w:r w:rsidR="00534EDE" w:rsidRPr="00733D2B">
        <w:rPr>
          <w:color w:val="FF0000"/>
          <w:sz w:val="22"/>
          <w:szCs w:val="22"/>
        </w:rPr>
        <w:t>4</w:t>
      </w:r>
      <w:r w:rsidRPr="00733D2B">
        <w:rPr>
          <w:color w:val="FF0000"/>
          <w:sz w:val="22"/>
          <w:szCs w:val="22"/>
        </w:rPr>
        <w:t>) points to developments which are at risk of conversion to market rate housing.  To be eligible for consideration, applications must include evidence that Section 8 project based or similar affordability restrictions expire within</w:t>
      </w:r>
      <w:r w:rsidR="00965370" w:rsidRPr="00733D2B">
        <w:rPr>
          <w:color w:val="FF0000"/>
          <w:sz w:val="22"/>
          <w:szCs w:val="22"/>
        </w:rPr>
        <w:t xml:space="preserve"> twelve</w:t>
      </w:r>
      <w:r w:rsidRPr="00733D2B">
        <w:rPr>
          <w:color w:val="FF0000"/>
          <w:sz w:val="22"/>
          <w:szCs w:val="22"/>
        </w:rPr>
        <w:t xml:space="preserve"> </w:t>
      </w:r>
      <w:r w:rsidR="00965370" w:rsidRPr="00733D2B">
        <w:rPr>
          <w:color w:val="FF0000"/>
          <w:sz w:val="22"/>
          <w:szCs w:val="22"/>
        </w:rPr>
        <w:t>(</w:t>
      </w:r>
      <w:r w:rsidRPr="00733D2B">
        <w:rPr>
          <w:color w:val="FF0000"/>
          <w:sz w:val="22"/>
          <w:szCs w:val="22"/>
        </w:rPr>
        <w:t>12</w:t>
      </w:r>
      <w:r w:rsidR="00965370" w:rsidRPr="00733D2B">
        <w:rPr>
          <w:color w:val="FF0000"/>
          <w:sz w:val="22"/>
          <w:szCs w:val="22"/>
        </w:rPr>
        <w:t>)</w:t>
      </w:r>
      <w:r w:rsidRPr="00733D2B">
        <w:rPr>
          <w:color w:val="FF0000"/>
          <w:sz w:val="22"/>
          <w:szCs w:val="22"/>
        </w:rPr>
        <w:t xml:space="preserve"> months from the date of application.  Additionally, evidence of a vacancy rate of less than ninety percent (90%) over the last five (5) years must be provided.</w:t>
      </w:r>
    </w:p>
    <w:p w:rsidR="00083059" w:rsidRPr="00083059" w:rsidRDefault="00083059" w:rsidP="00083059">
      <w:pPr>
        <w:pStyle w:val="Header"/>
        <w:tabs>
          <w:tab w:val="clear" w:pos="4320"/>
          <w:tab w:val="clear" w:pos="8640"/>
        </w:tabs>
        <w:spacing w:line="240" w:lineRule="auto"/>
        <w:ind w:left="1800"/>
        <w:rPr>
          <w:color w:val="FF0000"/>
          <w:sz w:val="22"/>
          <w:szCs w:val="22"/>
          <w:u w:val="single"/>
        </w:rPr>
      </w:pPr>
    </w:p>
    <w:p w:rsidR="00083059" w:rsidRPr="00733D2B" w:rsidRDefault="00083059" w:rsidP="00793F44">
      <w:pPr>
        <w:pStyle w:val="Header"/>
        <w:numPr>
          <w:ilvl w:val="0"/>
          <w:numId w:val="65"/>
        </w:numPr>
        <w:tabs>
          <w:tab w:val="clear" w:pos="4320"/>
          <w:tab w:val="clear" w:pos="8640"/>
        </w:tabs>
        <w:spacing w:line="240" w:lineRule="auto"/>
        <w:rPr>
          <w:color w:val="FF0000"/>
          <w:sz w:val="22"/>
          <w:szCs w:val="22"/>
        </w:rPr>
      </w:pPr>
      <w:r w:rsidRPr="00083059">
        <w:rPr>
          <w:color w:val="FF0000"/>
          <w:sz w:val="22"/>
          <w:szCs w:val="22"/>
          <w:u w:val="single"/>
        </w:rPr>
        <w:t>Risk of Loss Due to Critical Physical Needs</w:t>
      </w:r>
      <w:r w:rsidRPr="00733D2B">
        <w:rPr>
          <w:color w:val="FF0000"/>
          <w:sz w:val="22"/>
          <w:szCs w:val="22"/>
        </w:rPr>
        <w:t xml:space="preserve"> – The Agency may award up to </w:t>
      </w:r>
      <w:r w:rsidR="00534EDE" w:rsidRPr="00733D2B">
        <w:rPr>
          <w:color w:val="FF0000"/>
          <w:sz w:val="22"/>
          <w:szCs w:val="22"/>
        </w:rPr>
        <w:t>four</w:t>
      </w:r>
      <w:r w:rsidRPr="00733D2B">
        <w:rPr>
          <w:color w:val="FF0000"/>
          <w:sz w:val="22"/>
          <w:szCs w:val="22"/>
        </w:rPr>
        <w:t xml:space="preserve"> (</w:t>
      </w:r>
      <w:r w:rsidR="00534EDE" w:rsidRPr="00733D2B">
        <w:rPr>
          <w:color w:val="FF0000"/>
          <w:sz w:val="22"/>
          <w:szCs w:val="22"/>
        </w:rPr>
        <w:t>4</w:t>
      </w:r>
      <w:r w:rsidRPr="00733D2B">
        <w:rPr>
          <w:color w:val="FF0000"/>
          <w:sz w:val="22"/>
          <w:szCs w:val="22"/>
        </w:rPr>
        <w:t>) points to developments which are beyond fifteen (15) years of initial loa</w:t>
      </w:r>
      <w:r w:rsidR="0049091C">
        <w:rPr>
          <w:color w:val="FF0000"/>
          <w:sz w:val="22"/>
          <w:szCs w:val="22"/>
        </w:rPr>
        <w:t>n closing and tax credit placed-</w:t>
      </w:r>
      <w:r w:rsidRPr="00733D2B">
        <w:rPr>
          <w:color w:val="FF0000"/>
          <w:sz w:val="22"/>
          <w:szCs w:val="22"/>
        </w:rPr>
        <w:t>in</w:t>
      </w:r>
      <w:r w:rsidR="0049091C">
        <w:rPr>
          <w:color w:val="FF0000"/>
          <w:sz w:val="22"/>
          <w:szCs w:val="22"/>
        </w:rPr>
        <w:t>-</w:t>
      </w:r>
      <w:r w:rsidRPr="00733D2B">
        <w:rPr>
          <w:color w:val="FF0000"/>
          <w:sz w:val="22"/>
          <w:szCs w:val="22"/>
        </w:rPr>
        <w:t>service date and at least one major physical plant component must be replaced or repaired or there is evidence of the need for an immediate health or safety improvement.  Applicants must demonstrate that there has been a good faith effort to keep the property up to Uniform Physical Condition Standards.</w:t>
      </w:r>
    </w:p>
    <w:p w:rsidR="00083059" w:rsidRDefault="00083059" w:rsidP="00083059">
      <w:pPr>
        <w:pStyle w:val="Header"/>
        <w:tabs>
          <w:tab w:val="clear" w:pos="4320"/>
          <w:tab w:val="clear" w:pos="8640"/>
        </w:tabs>
        <w:spacing w:line="240" w:lineRule="auto"/>
        <w:rPr>
          <w:color w:val="FF0000"/>
          <w:sz w:val="22"/>
          <w:szCs w:val="22"/>
          <w:u w:val="single"/>
        </w:rPr>
      </w:pPr>
    </w:p>
    <w:p w:rsidR="00083059" w:rsidRPr="00733D2B" w:rsidRDefault="00083059" w:rsidP="00793F44">
      <w:pPr>
        <w:pStyle w:val="Header"/>
        <w:numPr>
          <w:ilvl w:val="0"/>
          <w:numId w:val="66"/>
        </w:numPr>
        <w:tabs>
          <w:tab w:val="clear" w:pos="4320"/>
          <w:tab w:val="clear" w:pos="8640"/>
        </w:tabs>
        <w:spacing w:line="240" w:lineRule="auto"/>
        <w:rPr>
          <w:color w:val="FF0000"/>
          <w:sz w:val="22"/>
          <w:szCs w:val="22"/>
        </w:rPr>
      </w:pPr>
      <w:r w:rsidRPr="00083059">
        <w:rPr>
          <w:color w:val="FF0000"/>
          <w:sz w:val="22"/>
          <w:szCs w:val="22"/>
          <w:u w:val="single"/>
        </w:rPr>
        <w:t>Mixed-Income Housing</w:t>
      </w:r>
      <w:r w:rsidRPr="00733D2B">
        <w:rPr>
          <w:color w:val="FF0000"/>
          <w:sz w:val="22"/>
          <w:szCs w:val="22"/>
        </w:rPr>
        <w:t xml:space="preserve"> – The Agency may award up to two (2) points for developments which incorporate market rate units as part of the unit mix.  In order to qualify for points, at a minimum fifteen percentage (15%) of the units shall be targeted as market rate units.</w:t>
      </w:r>
    </w:p>
    <w:p w:rsidR="00083059" w:rsidRPr="00083059" w:rsidRDefault="00083059" w:rsidP="00083059">
      <w:pPr>
        <w:pStyle w:val="Header"/>
        <w:tabs>
          <w:tab w:val="clear" w:pos="4320"/>
          <w:tab w:val="clear" w:pos="8640"/>
        </w:tabs>
        <w:spacing w:line="240" w:lineRule="auto"/>
        <w:ind w:left="1800"/>
        <w:rPr>
          <w:color w:val="FF0000"/>
          <w:sz w:val="22"/>
          <w:szCs w:val="22"/>
          <w:u w:val="single"/>
        </w:rPr>
      </w:pPr>
    </w:p>
    <w:p w:rsidR="00083059" w:rsidRPr="00733D2B" w:rsidRDefault="00083059" w:rsidP="00793F44">
      <w:pPr>
        <w:pStyle w:val="Header"/>
        <w:numPr>
          <w:ilvl w:val="0"/>
          <w:numId w:val="66"/>
        </w:numPr>
        <w:tabs>
          <w:tab w:val="clear" w:pos="4320"/>
          <w:tab w:val="clear" w:pos="8640"/>
        </w:tabs>
        <w:spacing w:line="240" w:lineRule="auto"/>
        <w:rPr>
          <w:color w:val="FF0000"/>
          <w:sz w:val="22"/>
          <w:szCs w:val="22"/>
        </w:rPr>
      </w:pPr>
      <w:r w:rsidRPr="00083059">
        <w:rPr>
          <w:color w:val="FF0000"/>
          <w:sz w:val="22"/>
          <w:szCs w:val="22"/>
          <w:u w:val="single"/>
        </w:rPr>
        <w:t>Transit-Oriented Design</w:t>
      </w:r>
      <w:r w:rsidRPr="00733D2B">
        <w:rPr>
          <w:color w:val="FF0000"/>
          <w:sz w:val="22"/>
          <w:szCs w:val="22"/>
        </w:rPr>
        <w:t xml:space="preserve"> – The Agency may award up to two (2) points to developments located within one-half mile of a completed or planned public transportation fixed route stop.</w:t>
      </w:r>
    </w:p>
    <w:p w:rsidR="00083059" w:rsidRPr="00083059" w:rsidRDefault="00083059" w:rsidP="00083059">
      <w:pPr>
        <w:pStyle w:val="Header"/>
        <w:tabs>
          <w:tab w:val="clear" w:pos="4320"/>
          <w:tab w:val="clear" w:pos="8640"/>
        </w:tabs>
        <w:spacing w:line="240" w:lineRule="auto"/>
        <w:ind w:left="1800"/>
        <w:rPr>
          <w:color w:val="FF0000"/>
          <w:sz w:val="22"/>
          <w:szCs w:val="22"/>
          <w:u w:val="single"/>
        </w:rPr>
      </w:pPr>
    </w:p>
    <w:p w:rsidR="00083059" w:rsidRPr="00733D2B" w:rsidRDefault="00083059" w:rsidP="00793F44">
      <w:pPr>
        <w:pStyle w:val="Header"/>
        <w:numPr>
          <w:ilvl w:val="0"/>
          <w:numId w:val="66"/>
        </w:numPr>
        <w:tabs>
          <w:tab w:val="clear" w:pos="4320"/>
          <w:tab w:val="clear" w:pos="8640"/>
        </w:tabs>
        <w:spacing w:line="240" w:lineRule="auto"/>
        <w:rPr>
          <w:color w:val="FF0000"/>
          <w:sz w:val="22"/>
          <w:szCs w:val="22"/>
        </w:rPr>
      </w:pPr>
      <w:r w:rsidRPr="00083059">
        <w:rPr>
          <w:color w:val="FF0000"/>
          <w:sz w:val="22"/>
          <w:szCs w:val="22"/>
          <w:u w:val="single"/>
        </w:rPr>
        <w:t>Walkability</w:t>
      </w:r>
      <w:r w:rsidRPr="00733D2B">
        <w:rPr>
          <w:color w:val="FF0000"/>
          <w:sz w:val="22"/>
          <w:szCs w:val="22"/>
        </w:rPr>
        <w:t xml:space="preserve"> – The Agency may award up to two (2) points for developments which have the following walk scores according to </w:t>
      </w:r>
      <w:r w:rsidR="0049091C">
        <w:rPr>
          <w:color w:val="FF0000"/>
          <w:sz w:val="22"/>
          <w:szCs w:val="22"/>
        </w:rPr>
        <w:t>“</w:t>
      </w:r>
      <w:hyperlink r:id="rId14" w:history="1">
        <w:r w:rsidR="0049091C" w:rsidRPr="00B1782C">
          <w:rPr>
            <w:rStyle w:val="Hyperlink"/>
            <w:color w:val="FF0000"/>
          </w:rPr>
          <w:t>www.walkscore.com</w:t>
        </w:r>
      </w:hyperlink>
      <w:r w:rsidR="0090150E" w:rsidRPr="00B1782C">
        <w:rPr>
          <w:color w:val="FF0000"/>
        </w:rPr>
        <w:t>”</w:t>
      </w:r>
      <w:r w:rsidRPr="00733D2B">
        <w:rPr>
          <w:color w:val="FF0000"/>
          <w:sz w:val="22"/>
          <w:szCs w:val="22"/>
        </w:rPr>
        <w:t xml:space="preserve"> (for scattered site projects, a walk score will be obtained for each site and a weighted average based upon number of units at each site will be calculated):</w:t>
      </w:r>
    </w:p>
    <w:p w:rsidR="00083059" w:rsidRPr="00083059" w:rsidRDefault="00083059" w:rsidP="00083059">
      <w:pPr>
        <w:pStyle w:val="Header"/>
        <w:tabs>
          <w:tab w:val="clear" w:pos="4320"/>
          <w:tab w:val="clear" w:pos="8640"/>
        </w:tabs>
        <w:spacing w:line="240" w:lineRule="auto"/>
        <w:ind w:left="1800"/>
        <w:rPr>
          <w:color w:val="FF0000"/>
          <w:sz w:val="22"/>
          <w:szCs w:val="22"/>
          <w:u w:val="single"/>
        </w:rPr>
      </w:pPr>
    </w:p>
    <w:p w:rsidR="002C541D" w:rsidRPr="008B361E" w:rsidRDefault="00083059" w:rsidP="00CF3DA8">
      <w:pPr>
        <w:pStyle w:val="Header"/>
        <w:tabs>
          <w:tab w:val="clear" w:pos="4320"/>
          <w:tab w:val="clear" w:pos="8640"/>
        </w:tabs>
        <w:spacing w:after="120" w:line="240" w:lineRule="auto"/>
        <w:ind w:left="3240" w:firstLine="360"/>
        <w:rPr>
          <w:b/>
          <w:color w:val="FF0000"/>
          <w:sz w:val="22"/>
          <w:szCs w:val="22"/>
          <w:u w:val="single"/>
        </w:rPr>
      </w:pPr>
      <w:r w:rsidRPr="00083059">
        <w:rPr>
          <w:b/>
          <w:color w:val="FF0000"/>
          <w:sz w:val="22"/>
          <w:szCs w:val="22"/>
          <w:u w:val="single"/>
        </w:rPr>
        <w:t>Urban</w:t>
      </w:r>
      <w:r w:rsidRPr="00083059">
        <w:rPr>
          <w:color w:val="FF0000"/>
          <w:sz w:val="22"/>
          <w:szCs w:val="22"/>
        </w:rPr>
        <w:t xml:space="preserve">   </w:t>
      </w:r>
      <w:r w:rsidRPr="00083059">
        <w:rPr>
          <w:color w:val="FF0000"/>
          <w:sz w:val="22"/>
          <w:szCs w:val="22"/>
        </w:rPr>
        <w:tab/>
      </w:r>
      <w:r w:rsidRPr="00083059">
        <w:rPr>
          <w:color w:val="FF0000"/>
          <w:sz w:val="22"/>
          <w:szCs w:val="22"/>
        </w:rPr>
        <w:tab/>
      </w:r>
      <w:r w:rsidRPr="00083059">
        <w:rPr>
          <w:color w:val="FF0000"/>
          <w:sz w:val="22"/>
          <w:szCs w:val="22"/>
        </w:rPr>
        <w:tab/>
      </w:r>
      <w:r w:rsidRPr="00083059">
        <w:rPr>
          <w:color w:val="FF0000"/>
          <w:sz w:val="22"/>
          <w:szCs w:val="22"/>
        </w:rPr>
        <w:tab/>
      </w:r>
      <w:r w:rsidRPr="00083059">
        <w:rPr>
          <w:color w:val="FF0000"/>
          <w:sz w:val="22"/>
          <w:szCs w:val="22"/>
        </w:rPr>
        <w:tab/>
      </w:r>
      <w:r w:rsidRPr="00083059">
        <w:rPr>
          <w:b/>
          <w:color w:val="FF0000"/>
          <w:sz w:val="22"/>
          <w:szCs w:val="22"/>
        </w:rPr>
        <w:t xml:space="preserve">         </w:t>
      </w:r>
      <w:r w:rsidR="00CF3DA8" w:rsidRPr="00CF3DA8">
        <w:rPr>
          <w:b/>
          <w:color w:val="FF0000"/>
          <w:sz w:val="22"/>
          <w:szCs w:val="22"/>
          <w:u w:val="single"/>
        </w:rPr>
        <w:t>S</w:t>
      </w:r>
      <w:r w:rsidRPr="00083059">
        <w:rPr>
          <w:b/>
          <w:color w:val="FF0000"/>
          <w:sz w:val="22"/>
          <w:szCs w:val="22"/>
          <w:u w:val="single"/>
        </w:rPr>
        <w:t>uburban/Rural</w:t>
      </w:r>
    </w:p>
    <w:tbl>
      <w:tblPr>
        <w:tblW w:w="0" w:type="auto"/>
        <w:tblInd w:w="2160" w:type="dxa"/>
        <w:tblLayout w:type="fixed"/>
        <w:tblLook w:val="0000" w:firstRow="0" w:lastRow="0" w:firstColumn="0" w:lastColumn="0" w:noHBand="0" w:noVBand="0"/>
      </w:tblPr>
      <w:tblGrid>
        <w:gridCol w:w="1532"/>
        <w:gridCol w:w="360"/>
        <w:gridCol w:w="1620"/>
        <w:gridCol w:w="1620"/>
        <w:gridCol w:w="1620"/>
      </w:tblGrid>
      <w:tr w:rsidR="002C541D" w:rsidRPr="008B361E" w:rsidTr="00413F19">
        <w:tc>
          <w:tcPr>
            <w:tcW w:w="1532" w:type="dxa"/>
          </w:tcPr>
          <w:p w:rsidR="002C541D" w:rsidRPr="008B361E" w:rsidRDefault="00083059" w:rsidP="002C541D">
            <w:pPr>
              <w:pStyle w:val="Header"/>
              <w:tabs>
                <w:tab w:val="clear" w:pos="4320"/>
                <w:tab w:val="clear" w:pos="8640"/>
              </w:tabs>
              <w:spacing w:line="240" w:lineRule="auto"/>
              <w:ind w:left="28"/>
              <w:jc w:val="center"/>
              <w:rPr>
                <w:b/>
                <w:color w:val="FF0000"/>
                <w:sz w:val="22"/>
                <w:szCs w:val="22"/>
                <w:u w:val="single"/>
              </w:rPr>
            </w:pPr>
            <w:r w:rsidRPr="00083059">
              <w:rPr>
                <w:b/>
                <w:color w:val="FF0000"/>
                <w:sz w:val="22"/>
                <w:szCs w:val="22"/>
                <w:u w:val="single"/>
              </w:rPr>
              <w:t>Percentage</w:t>
            </w:r>
          </w:p>
        </w:tc>
        <w:tc>
          <w:tcPr>
            <w:tcW w:w="360" w:type="dxa"/>
          </w:tcPr>
          <w:p w:rsidR="002C541D" w:rsidRPr="008B361E" w:rsidRDefault="002C541D" w:rsidP="002C541D">
            <w:pPr>
              <w:pStyle w:val="Header"/>
              <w:tabs>
                <w:tab w:val="clear" w:pos="4320"/>
                <w:tab w:val="clear" w:pos="8640"/>
              </w:tabs>
              <w:spacing w:line="240" w:lineRule="auto"/>
              <w:jc w:val="center"/>
              <w:rPr>
                <w:b/>
                <w:color w:val="FF0000"/>
                <w:sz w:val="22"/>
                <w:szCs w:val="22"/>
                <w:u w:val="single"/>
              </w:rPr>
            </w:pPr>
          </w:p>
        </w:tc>
        <w:tc>
          <w:tcPr>
            <w:tcW w:w="1620" w:type="dxa"/>
          </w:tcPr>
          <w:p w:rsidR="002C541D" w:rsidRPr="008B361E" w:rsidRDefault="00083059" w:rsidP="002C541D">
            <w:pPr>
              <w:pStyle w:val="Header"/>
              <w:tabs>
                <w:tab w:val="clear" w:pos="4320"/>
                <w:tab w:val="clear" w:pos="8640"/>
              </w:tabs>
              <w:spacing w:line="240" w:lineRule="auto"/>
              <w:jc w:val="center"/>
              <w:rPr>
                <w:b/>
                <w:color w:val="FF0000"/>
                <w:sz w:val="22"/>
                <w:szCs w:val="22"/>
                <w:u w:val="single"/>
              </w:rPr>
            </w:pPr>
            <w:r w:rsidRPr="00083059">
              <w:rPr>
                <w:b/>
                <w:color w:val="FF0000"/>
                <w:sz w:val="22"/>
                <w:szCs w:val="22"/>
                <w:u w:val="single"/>
              </w:rPr>
              <w:t>Points</w:t>
            </w:r>
          </w:p>
        </w:tc>
        <w:tc>
          <w:tcPr>
            <w:tcW w:w="1620" w:type="dxa"/>
          </w:tcPr>
          <w:p w:rsidR="002C541D" w:rsidRPr="008B361E" w:rsidRDefault="00083059" w:rsidP="002C541D">
            <w:pPr>
              <w:pStyle w:val="Header"/>
              <w:tabs>
                <w:tab w:val="clear" w:pos="4320"/>
                <w:tab w:val="clear" w:pos="8640"/>
              </w:tabs>
              <w:spacing w:line="240" w:lineRule="auto"/>
              <w:jc w:val="center"/>
              <w:rPr>
                <w:b/>
                <w:color w:val="FF0000"/>
                <w:sz w:val="22"/>
                <w:szCs w:val="22"/>
                <w:u w:val="single"/>
              </w:rPr>
            </w:pPr>
            <w:r w:rsidRPr="00083059">
              <w:rPr>
                <w:b/>
                <w:color w:val="FF0000"/>
                <w:sz w:val="22"/>
                <w:szCs w:val="22"/>
                <w:u w:val="single"/>
              </w:rPr>
              <w:t>Percentage</w:t>
            </w:r>
          </w:p>
        </w:tc>
        <w:tc>
          <w:tcPr>
            <w:tcW w:w="1620" w:type="dxa"/>
          </w:tcPr>
          <w:p w:rsidR="002C541D" w:rsidRPr="008B361E" w:rsidRDefault="00083059" w:rsidP="002C541D">
            <w:pPr>
              <w:pStyle w:val="Header"/>
              <w:tabs>
                <w:tab w:val="clear" w:pos="4320"/>
                <w:tab w:val="clear" w:pos="8640"/>
              </w:tabs>
              <w:spacing w:line="240" w:lineRule="auto"/>
              <w:jc w:val="center"/>
              <w:rPr>
                <w:b/>
                <w:color w:val="FF0000"/>
                <w:sz w:val="22"/>
                <w:szCs w:val="22"/>
                <w:u w:val="single"/>
              </w:rPr>
            </w:pPr>
            <w:r w:rsidRPr="00083059">
              <w:rPr>
                <w:b/>
                <w:color w:val="FF0000"/>
                <w:sz w:val="22"/>
                <w:szCs w:val="22"/>
                <w:u w:val="single"/>
              </w:rPr>
              <w:t>Points</w:t>
            </w:r>
          </w:p>
        </w:tc>
      </w:tr>
      <w:tr w:rsidR="002C541D" w:rsidRPr="008B361E" w:rsidTr="00413F19">
        <w:tc>
          <w:tcPr>
            <w:tcW w:w="1532" w:type="dxa"/>
          </w:tcPr>
          <w:p w:rsidR="002C541D" w:rsidRPr="008B361E" w:rsidRDefault="00733D2B" w:rsidP="002C541D">
            <w:pPr>
              <w:pStyle w:val="Header"/>
              <w:tabs>
                <w:tab w:val="clear" w:pos="4320"/>
                <w:tab w:val="clear" w:pos="8640"/>
              </w:tabs>
              <w:spacing w:line="240" w:lineRule="auto"/>
              <w:jc w:val="center"/>
              <w:rPr>
                <w:color w:val="FF0000"/>
                <w:sz w:val="22"/>
                <w:szCs w:val="22"/>
              </w:rPr>
            </w:pPr>
            <w:r>
              <w:rPr>
                <w:color w:val="FF0000"/>
                <w:sz w:val="22"/>
                <w:szCs w:val="22"/>
              </w:rPr>
              <w:t>≥</w:t>
            </w:r>
            <w:r w:rsidR="00083059" w:rsidRPr="00083059">
              <w:rPr>
                <w:color w:val="FF0000"/>
                <w:sz w:val="22"/>
                <w:szCs w:val="22"/>
              </w:rPr>
              <w:t>80</w:t>
            </w:r>
          </w:p>
        </w:tc>
        <w:tc>
          <w:tcPr>
            <w:tcW w:w="360" w:type="dxa"/>
          </w:tcPr>
          <w:p w:rsidR="002C541D" w:rsidRPr="008B361E" w:rsidRDefault="002C541D" w:rsidP="002C541D">
            <w:pPr>
              <w:pStyle w:val="Header"/>
              <w:tabs>
                <w:tab w:val="clear" w:pos="4320"/>
                <w:tab w:val="clear" w:pos="8640"/>
              </w:tabs>
              <w:spacing w:line="240" w:lineRule="auto"/>
              <w:jc w:val="center"/>
              <w:rPr>
                <w:color w:val="FF0000"/>
                <w:sz w:val="22"/>
                <w:szCs w:val="22"/>
              </w:rPr>
            </w:pPr>
          </w:p>
        </w:tc>
        <w:tc>
          <w:tcPr>
            <w:tcW w:w="1620" w:type="dxa"/>
          </w:tcPr>
          <w:p w:rsidR="002C541D" w:rsidRPr="008B361E" w:rsidRDefault="00083059" w:rsidP="002C541D">
            <w:pPr>
              <w:pStyle w:val="Header"/>
              <w:tabs>
                <w:tab w:val="clear" w:pos="4320"/>
                <w:tab w:val="clear" w:pos="8640"/>
              </w:tabs>
              <w:spacing w:line="240" w:lineRule="auto"/>
              <w:jc w:val="center"/>
              <w:rPr>
                <w:color w:val="FF0000"/>
                <w:sz w:val="22"/>
                <w:szCs w:val="22"/>
              </w:rPr>
            </w:pPr>
            <w:r w:rsidRPr="00083059">
              <w:rPr>
                <w:color w:val="FF0000"/>
                <w:sz w:val="22"/>
                <w:szCs w:val="22"/>
              </w:rPr>
              <w:t xml:space="preserve"> 2</w:t>
            </w:r>
          </w:p>
        </w:tc>
        <w:tc>
          <w:tcPr>
            <w:tcW w:w="1620" w:type="dxa"/>
          </w:tcPr>
          <w:p w:rsidR="002C541D" w:rsidRPr="008B361E" w:rsidRDefault="00733D2B" w:rsidP="002C541D">
            <w:pPr>
              <w:pStyle w:val="Header"/>
              <w:tabs>
                <w:tab w:val="clear" w:pos="4320"/>
                <w:tab w:val="clear" w:pos="8640"/>
              </w:tabs>
              <w:spacing w:line="240" w:lineRule="auto"/>
              <w:jc w:val="center"/>
              <w:rPr>
                <w:color w:val="FF0000"/>
                <w:sz w:val="22"/>
                <w:szCs w:val="22"/>
              </w:rPr>
            </w:pPr>
            <w:r>
              <w:rPr>
                <w:color w:val="FF0000"/>
                <w:sz w:val="22"/>
                <w:szCs w:val="22"/>
              </w:rPr>
              <w:t>≥</w:t>
            </w:r>
            <w:r w:rsidR="00083059" w:rsidRPr="00083059">
              <w:rPr>
                <w:color w:val="FF0000"/>
                <w:sz w:val="22"/>
                <w:szCs w:val="22"/>
              </w:rPr>
              <w:t>70</w:t>
            </w:r>
          </w:p>
        </w:tc>
        <w:tc>
          <w:tcPr>
            <w:tcW w:w="1620" w:type="dxa"/>
          </w:tcPr>
          <w:p w:rsidR="002C541D" w:rsidRPr="008B361E" w:rsidRDefault="00083059" w:rsidP="002C541D">
            <w:pPr>
              <w:pStyle w:val="Header"/>
              <w:tabs>
                <w:tab w:val="clear" w:pos="4320"/>
                <w:tab w:val="clear" w:pos="8640"/>
              </w:tabs>
              <w:spacing w:line="240" w:lineRule="auto"/>
              <w:jc w:val="center"/>
              <w:rPr>
                <w:color w:val="FF0000"/>
                <w:sz w:val="22"/>
                <w:szCs w:val="22"/>
              </w:rPr>
            </w:pPr>
            <w:r w:rsidRPr="00083059">
              <w:rPr>
                <w:color w:val="FF0000"/>
                <w:sz w:val="22"/>
                <w:szCs w:val="22"/>
              </w:rPr>
              <w:t>2</w:t>
            </w:r>
          </w:p>
        </w:tc>
      </w:tr>
      <w:tr w:rsidR="002C541D" w:rsidRPr="008B361E" w:rsidTr="00413F19">
        <w:tc>
          <w:tcPr>
            <w:tcW w:w="1532" w:type="dxa"/>
          </w:tcPr>
          <w:p w:rsidR="002C541D" w:rsidRPr="008B361E" w:rsidRDefault="00733D2B" w:rsidP="002C541D">
            <w:pPr>
              <w:pStyle w:val="Header"/>
              <w:tabs>
                <w:tab w:val="clear" w:pos="4320"/>
                <w:tab w:val="clear" w:pos="8640"/>
              </w:tabs>
              <w:spacing w:line="240" w:lineRule="auto"/>
              <w:jc w:val="center"/>
              <w:rPr>
                <w:color w:val="FF0000"/>
                <w:sz w:val="22"/>
                <w:szCs w:val="22"/>
              </w:rPr>
            </w:pPr>
            <w:r>
              <w:rPr>
                <w:color w:val="FF0000"/>
                <w:sz w:val="22"/>
                <w:szCs w:val="22"/>
              </w:rPr>
              <w:t>≥</w:t>
            </w:r>
            <w:r w:rsidR="00083059" w:rsidRPr="00083059">
              <w:rPr>
                <w:color w:val="FF0000"/>
                <w:sz w:val="22"/>
                <w:szCs w:val="22"/>
              </w:rPr>
              <w:t>70-79</w:t>
            </w:r>
          </w:p>
        </w:tc>
        <w:tc>
          <w:tcPr>
            <w:tcW w:w="360" w:type="dxa"/>
          </w:tcPr>
          <w:p w:rsidR="002C541D" w:rsidRPr="008B361E" w:rsidRDefault="002C541D" w:rsidP="002C541D">
            <w:pPr>
              <w:pStyle w:val="Header"/>
              <w:tabs>
                <w:tab w:val="clear" w:pos="4320"/>
                <w:tab w:val="clear" w:pos="8640"/>
              </w:tabs>
              <w:spacing w:line="240" w:lineRule="auto"/>
              <w:jc w:val="center"/>
              <w:rPr>
                <w:color w:val="FF0000"/>
                <w:sz w:val="22"/>
                <w:szCs w:val="22"/>
              </w:rPr>
            </w:pPr>
          </w:p>
        </w:tc>
        <w:tc>
          <w:tcPr>
            <w:tcW w:w="1620" w:type="dxa"/>
          </w:tcPr>
          <w:p w:rsidR="002C541D" w:rsidRPr="008B361E" w:rsidRDefault="00083059" w:rsidP="002C541D">
            <w:pPr>
              <w:pStyle w:val="Header"/>
              <w:tabs>
                <w:tab w:val="clear" w:pos="4320"/>
                <w:tab w:val="clear" w:pos="8640"/>
              </w:tabs>
              <w:spacing w:line="240" w:lineRule="auto"/>
              <w:jc w:val="center"/>
              <w:rPr>
                <w:color w:val="FF0000"/>
                <w:sz w:val="22"/>
                <w:szCs w:val="22"/>
              </w:rPr>
            </w:pPr>
            <w:r w:rsidRPr="00083059">
              <w:rPr>
                <w:color w:val="FF0000"/>
                <w:sz w:val="22"/>
                <w:szCs w:val="22"/>
              </w:rPr>
              <w:t xml:space="preserve">1 </w:t>
            </w:r>
          </w:p>
        </w:tc>
        <w:tc>
          <w:tcPr>
            <w:tcW w:w="1620" w:type="dxa"/>
          </w:tcPr>
          <w:p w:rsidR="002C541D" w:rsidRPr="008B361E" w:rsidRDefault="00733D2B" w:rsidP="002C541D">
            <w:pPr>
              <w:pStyle w:val="Header"/>
              <w:tabs>
                <w:tab w:val="clear" w:pos="4320"/>
                <w:tab w:val="clear" w:pos="8640"/>
              </w:tabs>
              <w:spacing w:line="240" w:lineRule="auto"/>
              <w:jc w:val="center"/>
              <w:rPr>
                <w:color w:val="FF0000"/>
                <w:sz w:val="22"/>
                <w:szCs w:val="22"/>
              </w:rPr>
            </w:pPr>
            <w:r>
              <w:rPr>
                <w:color w:val="FF0000"/>
                <w:sz w:val="22"/>
                <w:szCs w:val="22"/>
              </w:rPr>
              <w:t>≥</w:t>
            </w:r>
            <w:r w:rsidR="00083059" w:rsidRPr="00083059">
              <w:rPr>
                <w:color w:val="FF0000"/>
                <w:sz w:val="22"/>
                <w:szCs w:val="22"/>
              </w:rPr>
              <w:t>50-69</w:t>
            </w:r>
          </w:p>
        </w:tc>
        <w:tc>
          <w:tcPr>
            <w:tcW w:w="1620" w:type="dxa"/>
          </w:tcPr>
          <w:p w:rsidR="002C541D" w:rsidRPr="008B361E" w:rsidRDefault="00083059" w:rsidP="002C541D">
            <w:pPr>
              <w:pStyle w:val="Header"/>
              <w:tabs>
                <w:tab w:val="clear" w:pos="4320"/>
                <w:tab w:val="clear" w:pos="8640"/>
              </w:tabs>
              <w:spacing w:line="240" w:lineRule="auto"/>
              <w:jc w:val="center"/>
              <w:rPr>
                <w:color w:val="FF0000"/>
                <w:sz w:val="22"/>
                <w:szCs w:val="22"/>
              </w:rPr>
            </w:pPr>
            <w:r w:rsidRPr="00083059">
              <w:rPr>
                <w:color w:val="FF0000"/>
                <w:sz w:val="22"/>
                <w:szCs w:val="22"/>
              </w:rPr>
              <w:t>1</w:t>
            </w:r>
          </w:p>
        </w:tc>
      </w:tr>
    </w:tbl>
    <w:p w:rsidR="002C541D" w:rsidRPr="008B361E" w:rsidRDefault="002C541D" w:rsidP="002C541D">
      <w:pPr>
        <w:pStyle w:val="Header"/>
        <w:tabs>
          <w:tab w:val="clear" w:pos="4320"/>
          <w:tab w:val="clear" w:pos="8640"/>
        </w:tabs>
        <w:spacing w:line="240" w:lineRule="auto"/>
        <w:ind w:left="1080"/>
        <w:rPr>
          <w:color w:val="FF0000"/>
          <w:sz w:val="22"/>
          <w:szCs w:val="22"/>
        </w:rPr>
      </w:pPr>
    </w:p>
    <w:p w:rsidR="00083059" w:rsidRPr="00083059" w:rsidRDefault="00083059" w:rsidP="00083059">
      <w:pPr>
        <w:pStyle w:val="Header"/>
        <w:numPr>
          <w:ilvl w:val="0"/>
          <w:numId w:val="61"/>
        </w:numPr>
        <w:tabs>
          <w:tab w:val="clear" w:pos="4320"/>
          <w:tab w:val="clear" w:pos="8640"/>
        </w:tabs>
        <w:spacing w:line="240" w:lineRule="auto"/>
        <w:rPr>
          <w:color w:val="FF0000"/>
          <w:sz w:val="22"/>
          <w:szCs w:val="22"/>
        </w:rPr>
      </w:pPr>
      <w:r w:rsidRPr="00083059">
        <w:rPr>
          <w:color w:val="FF0000"/>
          <w:sz w:val="22"/>
          <w:szCs w:val="22"/>
          <w:u w:val="single"/>
        </w:rPr>
        <w:t>Site</w:t>
      </w:r>
      <w:r w:rsidRPr="00083059">
        <w:rPr>
          <w:color w:val="FF0000"/>
          <w:sz w:val="22"/>
          <w:szCs w:val="22"/>
        </w:rPr>
        <w:t xml:space="preserve"> – The Agency may award up to </w:t>
      </w:r>
      <w:r w:rsidR="00965370">
        <w:rPr>
          <w:color w:val="FF0000"/>
          <w:sz w:val="22"/>
          <w:szCs w:val="22"/>
        </w:rPr>
        <w:t>three</w:t>
      </w:r>
      <w:r w:rsidRPr="00083059">
        <w:rPr>
          <w:color w:val="FF0000"/>
          <w:sz w:val="22"/>
          <w:szCs w:val="22"/>
        </w:rPr>
        <w:t xml:space="preserve"> (</w:t>
      </w:r>
      <w:r w:rsidR="00965370">
        <w:rPr>
          <w:color w:val="FF0000"/>
          <w:sz w:val="22"/>
          <w:szCs w:val="22"/>
        </w:rPr>
        <w:t>3</w:t>
      </w:r>
      <w:r w:rsidRPr="00083059">
        <w:rPr>
          <w:color w:val="FF0000"/>
          <w:sz w:val="22"/>
          <w:szCs w:val="22"/>
        </w:rPr>
        <w:t xml:space="preserve">) points to developments based upon site suitability for the proposed use.  Site suitability will be based on the following features,: unit size mix, including number of efficiency units; neighborhood amenities; access to site; appropriateness of site for targeted tenant population; availability of sufficient parking; location relative to flood plain; neighborhood nuisances; condition of neighborhood; building on agricultural land; if scattered site, overall impact on the neighborhood; completed project’s improvement to or impact on the neighborhood. </w:t>
      </w:r>
    </w:p>
    <w:p w:rsidR="00BA67B4" w:rsidRDefault="00BA67B4" w:rsidP="00BA67B4">
      <w:pPr>
        <w:pStyle w:val="Header"/>
        <w:tabs>
          <w:tab w:val="clear" w:pos="4320"/>
          <w:tab w:val="clear" w:pos="8640"/>
        </w:tabs>
        <w:spacing w:line="240" w:lineRule="auto"/>
        <w:ind w:left="1080"/>
        <w:rPr>
          <w:sz w:val="22"/>
          <w:szCs w:val="22"/>
        </w:rPr>
      </w:pPr>
    </w:p>
    <w:tbl>
      <w:tblPr>
        <w:tblW w:w="0" w:type="auto"/>
        <w:tblBorders>
          <w:insideH w:val="single" w:sz="4" w:space="0" w:color="auto"/>
        </w:tblBorders>
        <w:tblLayout w:type="fixed"/>
        <w:tblLook w:val="0000" w:firstRow="0" w:lastRow="0" w:firstColumn="0" w:lastColumn="0" w:noHBand="0" w:noVBand="0"/>
      </w:tblPr>
      <w:tblGrid>
        <w:gridCol w:w="6588"/>
        <w:gridCol w:w="2268"/>
      </w:tblGrid>
      <w:tr w:rsidR="000E5527" w:rsidRPr="00411B94">
        <w:tc>
          <w:tcPr>
            <w:tcW w:w="6588" w:type="dxa"/>
          </w:tcPr>
          <w:p w:rsidR="000E5527" w:rsidRPr="00411B94" w:rsidRDefault="00E54213" w:rsidP="00E94493">
            <w:pPr>
              <w:pStyle w:val="Header"/>
              <w:tabs>
                <w:tab w:val="clear" w:pos="4320"/>
                <w:tab w:val="clear" w:pos="8640"/>
              </w:tabs>
              <w:spacing w:after="240" w:line="240" w:lineRule="auto"/>
              <w:rPr>
                <w:b/>
                <w:sz w:val="22"/>
                <w:szCs w:val="22"/>
              </w:rPr>
            </w:pPr>
            <w:r w:rsidRPr="00411B94">
              <w:rPr>
                <w:sz w:val="22"/>
                <w:szCs w:val="22"/>
                <w:u w:color="FF0000"/>
              </w:rPr>
              <w:br w:type="page"/>
            </w:r>
            <w:r w:rsidR="00486D85" w:rsidRPr="00411B94">
              <w:rPr>
                <w:sz w:val="22"/>
                <w:szCs w:val="22"/>
                <w:u w:color="FF0000"/>
              </w:rPr>
              <w:br w:type="page"/>
            </w:r>
            <w:r w:rsidR="000E5527" w:rsidRPr="00411B94">
              <w:rPr>
                <w:sz w:val="22"/>
                <w:szCs w:val="22"/>
              </w:rPr>
              <w:br w:type="page"/>
            </w:r>
            <w:r w:rsidR="001E4B16" w:rsidRPr="00411B94">
              <w:rPr>
                <w:b/>
                <w:sz w:val="22"/>
                <w:szCs w:val="22"/>
              </w:rPr>
              <w:t xml:space="preserve">B.  </w:t>
            </w:r>
            <w:r w:rsidR="000E5527" w:rsidRPr="00411B94">
              <w:rPr>
                <w:b/>
                <w:sz w:val="22"/>
                <w:szCs w:val="22"/>
              </w:rPr>
              <w:t>Development Characteristics</w:t>
            </w:r>
          </w:p>
        </w:tc>
        <w:tc>
          <w:tcPr>
            <w:tcW w:w="2268" w:type="dxa"/>
          </w:tcPr>
          <w:p w:rsidR="00932819" w:rsidRPr="00411B94" w:rsidRDefault="00B74435">
            <w:pPr>
              <w:pStyle w:val="Header"/>
              <w:tabs>
                <w:tab w:val="clear" w:pos="4320"/>
                <w:tab w:val="clear" w:pos="8640"/>
              </w:tabs>
              <w:spacing w:line="240" w:lineRule="auto"/>
              <w:jc w:val="right"/>
              <w:rPr>
                <w:i/>
                <w:sz w:val="22"/>
                <w:szCs w:val="22"/>
              </w:rPr>
            </w:pPr>
            <w:r w:rsidRPr="00411B94">
              <w:rPr>
                <w:i/>
                <w:sz w:val="22"/>
                <w:szCs w:val="22"/>
              </w:rPr>
              <w:t>25</w:t>
            </w:r>
            <w:r w:rsidR="007D220A" w:rsidRPr="00411B94">
              <w:rPr>
                <w:i/>
                <w:sz w:val="22"/>
                <w:szCs w:val="22"/>
              </w:rPr>
              <w:t xml:space="preserve"> </w:t>
            </w:r>
            <w:r w:rsidR="000E5527" w:rsidRPr="00411B94">
              <w:rPr>
                <w:i/>
                <w:sz w:val="22"/>
                <w:szCs w:val="22"/>
              </w:rPr>
              <w:t>points</w:t>
            </w:r>
          </w:p>
        </w:tc>
      </w:tr>
    </w:tbl>
    <w:p w:rsidR="00491A05" w:rsidRPr="00411B94" w:rsidRDefault="00D23B99">
      <w:pPr>
        <w:spacing w:line="240" w:lineRule="auto"/>
        <w:ind w:left="720"/>
        <w:rPr>
          <w:sz w:val="22"/>
          <w:szCs w:val="22"/>
        </w:rPr>
      </w:pPr>
      <w:r w:rsidRPr="00411B94">
        <w:rPr>
          <w:sz w:val="22"/>
          <w:szCs w:val="22"/>
        </w:rPr>
        <w:t>The A</w:t>
      </w:r>
      <w:r w:rsidR="00490267" w:rsidRPr="00411B94">
        <w:rPr>
          <w:sz w:val="22"/>
          <w:szCs w:val="22"/>
        </w:rPr>
        <w:t xml:space="preserve">gency may award up to </w:t>
      </w:r>
      <w:r w:rsidR="000A5987">
        <w:rPr>
          <w:sz w:val="22"/>
          <w:szCs w:val="22"/>
        </w:rPr>
        <w:t>twenty-five (</w:t>
      </w:r>
      <w:r w:rsidR="005B6B8D" w:rsidRPr="00411B94">
        <w:rPr>
          <w:sz w:val="22"/>
          <w:szCs w:val="22"/>
        </w:rPr>
        <w:t>25</w:t>
      </w:r>
      <w:r w:rsidR="000A5987">
        <w:rPr>
          <w:sz w:val="22"/>
          <w:szCs w:val="22"/>
        </w:rPr>
        <w:t>)</w:t>
      </w:r>
      <w:r w:rsidR="00490267" w:rsidRPr="00411B94">
        <w:rPr>
          <w:sz w:val="22"/>
          <w:szCs w:val="22"/>
        </w:rPr>
        <w:t xml:space="preserve"> points</w:t>
      </w:r>
      <w:r w:rsidR="00D54912" w:rsidRPr="00411B94">
        <w:rPr>
          <w:sz w:val="22"/>
          <w:szCs w:val="22"/>
        </w:rPr>
        <w:t xml:space="preserve"> </w:t>
      </w:r>
      <w:r w:rsidR="00490267" w:rsidRPr="00411B94">
        <w:rPr>
          <w:sz w:val="22"/>
          <w:szCs w:val="22"/>
        </w:rPr>
        <w:t>for the provision the following development amenities.</w:t>
      </w:r>
    </w:p>
    <w:p w:rsidR="00DA3102" w:rsidRPr="00411B94" w:rsidRDefault="00C01FD5" w:rsidP="00E94493">
      <w:pPr>
        <w:spacing w:line="240" w:lineRule="auto"/>
        <w:ind w:left="1080" w:hanging="360"/>
        <w:rPr>
          <w:sz w:val="22"/>
          <w:szCs w:val="22"/>
        </w:rPr>
      </w:pPr>
      <w:r w:rsidRPr="00411B94">
        <w:rPr>
          <w:sz w:val="22"/>
          <w:szCs w:val="22"/>
        </w:rPr>
        <w:tab/>
      </w:r>
      <w:r w:rsidRPr="00411B94">
        <w:rPr>
          <w:sz w:val="22"/>
          <w:szCs w:val="22"/>
        </w:rPr>
        <w:tab/>
      </w:r>
    </w:p>
    <w:p w:rsidR="00B23019" w:rsidRPr="00411B94" w:rsidRDefault="00EB3A38" w:rsidP="005B6B8D">
      <w:pPr>
        <w:pStyle w:val="ListParagraph"/>
        <w:numPr>
          <w:ilvl w:val="0"/>
          <w:numId w:val="44"/>
        </w:numPr>
        <w:spacing w:line="0" w:lineRule="atLeast"/>
        <w:ind w:left="1260"/>
        <w:rPr>
          <w:sz w:val="22"/>
          <w:szCs w:val="22"/>
        </w:rPr>
      </w:pPr>
      <w:r w:rsidRPr="00411B94">
        <w:rPr>
          <w:sz w:val="22"/>
          <w:szCs w:val="22"/>
        </w:rPr>
        <w:t>Smart Site Selection</w:t>
      </w:r>
      <w:r w:rsidR="00FA2345" w:rsidRPr="00411B94">
        <w:rPr>
          <w:sz w:val="22"/>
          <w:szCs w:val="22"/>
        </w:rPr>
        <w:t xml:space="preserve"> </w:t>
      </w:r>
      <w:r w:rsidR="006A0F14" w:rsidRPr="00411B94">
        <w:rPr>
          <w:sz w:val="22"/>
          <w:szCs w:val="22"/>
        </w:rPr>
        <w:t>–</w:t>
      </w:r>
      <w:r w:rsidR="00105202">
        <w:rPr>
          <w:sz w:val="22"/>
          <w:szCs w:val="22"/>
        </w:rPr>
        <w:t xml:space="preserve"> </w:t>
      </w:r>
      <w:r w:rsidR="00B23019" w:rsidRPr="00411B94">
        <w:rPr>
          <w:sz w:val="22"/>
          <w:szCs w:val="22"/>
        </w:rPr>
        <w:t>points may be awarded to the following types of properties:</w:t>
      </w:r>
    </w:p>
    <w:p w:rsidR="005B6B8D" w:rsidRPr="00411B94" w:rsidRDefault="005B6B8D" w:rsidP="00195F80">
      <w:pPr>
        <w:spacing w:line="240" w:lineRule="auto"/>
        <w:ind w:left="907"/>
        <w:rPr>
          <w:sz w:val="22"/>
          <w:szCs w:val="22"/>
        </w:rPr>
      </w:pPr>
    </w:p>
    <w:p w:rsidR="00932819" w:rsidRPr="00411B94" w:rsidRDefault="00B23019" w:rsidP="005B6B8D">
      <w:pPr>
        <w:pStyle w:val="ListParagraph"/>
        <w:numPr>
          <w:ilvl w:val="1"/>
          <w:numId w:val="44"/>
        </w:numPr>
        <w:spacing w:after="240" w:line="0" w:lineRule="atLeast"/>
        <w:ind w:left="1710"/>
        <w:rPr>
          <w:sz w:val="22"/>
          <w:szCs w:val="22"/>
        </w:rPr>
      </w:pPr>
      <w:r w:rsidRPr="00411B94">
        <w:rPr>
          <w:sz w:val="22"/>
          <w:szCs w:val="22"/>
        </w:rPr>
        <w:t xml:space="preserve">up to </w:t>
      </w:r>
      <w:r w:rsidR="000A5987">
        <w:rPr>
          <w:sz w:val="22"/>
          <w:szCs w:val="22"/>
        </w:rPr>
        <w:t>five (</w:t>
      </w:r>
      <w:r w:rsidR="00D54912" w:rsidRPr="00411B94">
        <w:rPr>
          <w:sz w:val="22"/>
          <w:szCs w:val="22"/>
        </w:rPr>
        <w:t>5</w:t>
      </w:r>
      <w:r w:rsidR="000A5987">
        <w:rPr>
          <w:sz w:val="22"/>
          <w:szCs w:val="22"/>
        </w:rPr>
        <w:t>)</w:t>
      </w:r>
      <w:r w:rsidR="00D05E87" w:rsidRPr="00411B94">
        <w:rPr>
          <w:sz w:val="22"/>
          <w:szCs w:val="22"/>
        </w:rPr>
        <w:t xml:space="preserve"> points</w:t>
      </w:r>
      <w:r w:rsidR="00D54912" w:rsidRPr="00411B94">
        <w:rPr>
          <w:sz w:val="22"/>
          <w:szCs w:val="22"/>
        </w:rPr>
        <w:t xml:space="preserve"> </w:t>
      </w:r>
      <w:r w:rsidR="00D05E87" w:rsidRPr="00411B94">
        <w:rPr>
          <w:sz w:val="22"/>
          <w:szCs w:val="22"/>
        </w:rPr>
        <w:t>may be awarded to those d</w:t>
      </w:r>
      <w:r w:rsidR="00CE0F08" w:rsidRPr="00411B94">
        <w:rPr>
          <w:sz w:val="22"/>
          <w:szCs w:val="22"/>
        </w:rPr>
        <w:t>evelopment</w:t>
      </w:r>
      <w:r w:rsidR="00D05E87" w:rsidRPr="00411B94">
        <w:rPr>
          <w:sz w:val="22"/>
          <w:szCs w:val="22"/>
        </w:rPr>
        <w:t>s</w:t>
      </w:r>
      <w:r w:rsidR="00CE0F08" w:rsidRPr="00411B94">
        <w:rPr>
          <w:sz w:val="22"/>
          <w:szCs w:val="22"/>
        </w:rPr>
        <w:t xml:space="preserve"> located on a brownfield</w:t>
      </w:r>
      <w:r w:rsidRPr="00411B94">
        <w:rPr>
          <w:sz w:val="22"/>
          <w:szCs w:val="22"/>
        </w:rPr>
        <w:t>;</w:t>
      </w:r>
    </w:p>
    <w:p w:rsidR="00932819" w:rsidRPr="00411B94" w:rsidRDefault="00B23019" w:rsidP="005B6B8D">
      <w:pPr>
        <w:pStyle w:val="ListParagraph"/>
        <w:numPr>
          <w:ilvl w:val="1"/>
          <w:numId w:val="44"/>
        </w:numPr>
        <w:spacing w:after="240" w:line="0" w:lineRule="atLeast"/>
        <w:ind w:left="1710"/>
        <w:rPr>
          <w:sz w:val="22"/>
          <w:szCs w:val="22"/>
        </w:rPr>
      </w:pPr>
      <w:r w:rsidRPr="00411B94">
        <w:rPr>
          <w:sz w:val="22"/>
          <w:szCs w:val="22"/>
        </w:rPr>
        <w:t>up to</w:t>
      </w:r>
      <w:r w:rsidR="005C1278" w:rsidRPr="00411B94">
        <w:rPr>
          <w:sz w:val="22"/>
          <w:szCs w:val="22"/>
        </w:rPr>
        <w:t xml:space="preserve"> </w:t>
      </w:r>
      <w:r w:rsidR="000A5987">
        <w:rPr>
          <w:sz w:val="22"/>
          <w:szCs w:val="22"/>
        </w:rPr>
        <w:t>seven (</w:t>
      </w:r>
      <w:r w:rsidRPr="00411B94">
        <w:rPr>
          <w:sz w:val="22"/>
          <w:szCs w:val="22"/>
        </w:rPr>
        <w:t>7</w:t>
      </w:r>
      <w:r w:rsidR="000A5987">
        <w:rPr>
          <w:sz w:val="22"/>
          <w:szCs w:val="22"/>
        </w:rPr>
        <w:t>)</w:t>
      </w:r>
      <w:r w:rsidRPr="00411B94">
        <w:rPr>
          <w:sz w:val="22"/>
          <w:szCs w:val="22"/>
        </w:rPr>
        <w:t xml:space="preserve"> points may be awarded to those developments considered</w:t>
      </w:r>
      <w:r w:rsidR="00CE0F08" w:rsidRPr="00411B94">
        <w:rPr>
          <w:sz w:val="22"/>
          <w:szCs w:val="22"/>
        </w:rPr>
        <w:t xml:space="preserve"> </w:t>
      </w:r>
      <w:r w:rsidR="00222E31" w:rsidRPr="00411B94">
        <w:rPr>
          <w:sz w:val="22"/>
          <w:szCs w:val="22"/>
        </w:rPr>
        <w:t>residential</w:t>
      </w:r>
      <w:r w:rsidR="009275D9" w:rsidRPr="00411B94">
        <w:rPr>
          <w:sz w:val="22"/>
          <w:szCs w:val="22"/>
        </w:rPr>
        <w:t xml:space="preserve"> </w:t>
      </w:r>
      <w:r w:rsidR="00CE0F08" w:rsidRPr="00411B94">
        <w:rPr>
          <w:sz w:val="22"/>
          <w:szCs w:val="22"/>
        </w:rPr>
        <w:t>infill</w:t>
      </w:r>
      <w:r w:rsidRPr="00411B94">
        <w:rPr>
          <w:sz w:val="22"/>
          <w:szCs w:val="22"/>
        </w:rPr>
        <w:t xml:space="preserve">; </w:t>
      </w:r>
      <w:r w:rsidR="005B6B8D" w:rsidRPr="00411B94">
        <w:rPr>
          <w:sz w:val="22"/>
          <w:szCs w:val="22"/>
        </w:rPr>
        <w:t>and</w:t>
      </w:r>
    </w:p>
    <w:p w:rsidR="00932819" w:rsidRPr="00411B94" w:rsidRDefault="00B23019" w:rsidP="005B6B8D">
      <w:pPr>
        <w:pStyle w:val="ListParagraph"/>
        <w:numPr>
          <w:ilvl w:val="1"/>
          <w:numId w:val="44"/>
        </w:numPr>
        <w:spacing w:after="240" w:line="0" w:lineRule="atLeast"/>
        <w:ind w:left="1710"/>
        <w:rPr>
          <w:sz w:val="22"/>
          <w:szCs w:val="22"/>
        </w:rPr>
      </w:pPr>
      <w:proofErr w:type="gramStart"/>
      <w:r w:rsidRPr="00411B94">
        <w:rPr>
          <w:sz w:val="22"/>
          <w:szCs w:val="22"/>
        </w:rPr>
        <w:t>up</w:t>
      </w:r>
      <w:proofErr w:type="gramEnd"/>
      <w:r w:rsidRPr="00411B94">
        <w:rPr>
          <w:sz w:val="22"/>
          <w:szCs w:val="22"/>
        </w:rPr>
        <w:t xml:space="preserve"> to</w:t>
      </w:r>
      <w:r w:rsidR="005B6B8D" w:rsidRPr="00411B94">
        <w:rPr>
          <w:sz w:val="22"/>
          <w:szCs w:val="22"/>
        </w:rPr>
        <w:t xml:space="preserve"> </w:t>
      </w:r>
      <w:r w:rsidR="000A5987">
        <w:rPr>
          <w:sz w:val="22"/>
          <w:szCs w:val="22"/>
        </w:rPr>
        <w:t>ten (</w:t>
      </w:r>
      <w:r w:rsidRPr="00411B94">
        <w:rPr>
          <w:sz w:val="22"/>
          <w:szCs w:val="22"/>
        </w:rPr>
        <w:t>10</w:t>
      </w:r>
      <w:r w:rsidR="000A5987">
        <w:rPr>
          <w:sz w:val="22"/>
          <w:szCs w:val="22"/>
        </w:rPr>
        <w:t>)</w:t>
      </w:r>
      <w:r w:rsidRPr="00411B94">
        <w:rPr>
          <w:sz w:val="22"/>
          <w:szCs w:val="22"/>
        </w:rPr>
        <w:t xml:space="preserve"> points may be awarded to those developments</w:t>
      </w:r>
      <w:r w:rsidR="00CE0F08" w:rsidRPr="00411B94">
        <w:rPr>
          <w:sz w:val="22"/>
          <w:szCs w:val="22"/>
        </w:rPr>
        <w:t xml:space="preserve"> </w:t>
      </w:r>
      <w:r w:rsidRPr="00411B94">
        <w:rPr>
          <w:sz w:val="22"/>
          <w:szCs w:val="22"/>
        </w:rPr>
        <w:t xml:space="preserve">consisting of an </w:t>
      </w:r>
      <w:r w:rsidR="00CE0F08" w:rsidRPr="00411B94">
        <w:rPr>
          <w:sz w:val="22"/>
          <w:szCs w:val="22"/>
        </w:rPr>
        <w:t>adaptive reuse</w:t>
      </w:r>
      <w:r w:rsidRPr="00411B94">
        <w:rPr>
          <w:sz w:val="22"/>
          <w:szCs w:val="22"/>
        </w:rPr>
        <w:t xml:space="preserve"> of an existing building</w:t>
      </w:r>
      <w:r w:rsidR="00CE0F08" w:rsidRPr="00411B94">
        <w:rPr>
          <w:sz w:val="22"/>
          <w:szCs w:val="22"/>
        </w:rPr>
        <w:t>.</w:t>
      </w:r>
    </w:p>
    <w:p w:rsidR="00CE0F08" w:rsidRPr="00411B94" w:rsidRDefault="00CE0F08" w:rsidP="00195F80">
      <w:pPr>
        <w:pStyle w:val="ListParagraph"/>
        <w:spacing w:line="0" w:lineRule="atLeast"/>
        <w:ind w:left="1267"/>
        <w:rPr>
          <w:sz w:val="22"/>
          <w:szCs w:val="22"/>
        </w:rPr>
      </w:pPr>
    </w:p>
    <w:p w:rsidR="00B5691E" w:rsidRPr="00411B94" w:rsidRDefault="000F54E0" w:rsidP="005B6B8D">
      <w:pPr>
        <w:pStyle w:val="ListParagraph"/>
        <w:numPr>
          <w:ilvl w:val="0"/>
          <w:numId w:val="44"/>
        </w:numPr>
        <w:spacing w:line="0" w:lineRule="atLeast"/>
        <w:ind w:left="1260"/>
        <w:rPr>
          <w:sz w:val="22"/>
          <w:szCs w:val="22"/>
        </w:rPr>
      </w:pPr>
      <w:r w:rsidRPr="00411B94">
        <w:rPr>
          <w:sz w:val="22"/>
          <w:szCs w:val="22"/>
        </w:rPr>
        <w:t xml:space="preserve">Achievement of Enterprise Green Communities </w:t>
      </w:r>
      <w:r w:rsidR="00175AEB">
        <w:rPr>
          <w:sz w:val="22"/>
          <w:szCs w:val="22"/>
        </w:rPr>
        <w:t>O</w:t>
      </w:r>
      <w:r w:rsidRPr="00411B94">
        <w:rPr>
          <w:sz w:val="22"/>
          <w:szCs w:val="22"/>
        </w:rPr>
        <w:t xml:space="preserve">ptional </w:t>
      </w:r>
      <w:r w:rsidR="00175AEB">
        <w:rPr>
          <w:sz w:val="22"/>
          <w:szCs w:val="22"/>
        </w:rPr>
        <w:t>P</w:t>
      </w:r>
      <w:r w:rsidRPr="00411B94">
        <w:rPr>
          <w:sz w:val="22"/>
          <w:szCs w:val="22"/>
        </w:rPr>
        <w:t xml:space="preserve">oints </w:t>
      </w:r>
      <w:r w:rsidR="00311BF5">
        <w:rPr>
          <w:sz w:val="22"/>
          <w:szCs w:val="22"/>
        </w:rPr>
        <w:t>C</w:t>
      </w:r>
      <w:r w:rsidRPr="00411B94">
        <w:rPr>
          <w:sz w:val="22"/>
          <w:szCs w:val="22"/>
        </w:rPr>
        <w:t>riteria</w:t>
      </w:r>
      <w:r w:rsidR="00311BF5">
        <w:rPr>
          <w:sz w:val="22"/>
          <w:szCs w:val="22"/>
        </w:rPr>
        <w:t xml:space="preserve"> </w:t>
      </w:r>
      <w:proofErr w:type="gramStart"/>
      <w:r w:rsidR="00311BF5">
        <w:rPr>
          <w:sz w:val="22"/>
          <w:szCs w:val="22"/>
        </w:rPr>
        <w:t>-</w:t>
      </w:r>
      <w:r w:rsidRPr="00411B94">
        <w:rPr>
          <w:sz w:val="22"/>
          <w:szCs w:val="22"/>
        </w:rPr>
        <w:t xml:space="preserve">  </w:t>
      </w:r>
      <w:r w:rsidR="000A5987">
        <w:rPr>
          <w:sz w:val="22"/>
          <w:szCs w:val="22"/>
        </w:rPr>
        <w:t>Ten</w:t>
      </w:r>
      <w:proofErr w:type="gramEnd"/>
      <w:r w:rsidR="000A5987">
        <w:rPr>
          <w:sz w:val="22"/>
          <w:szCs w:val="22"/>
        </w:rPr>
        <w:t xml:space="preserve"> (</w:t>
      </w:r>
      <w:r w:rsidR="007D220A" w:rsidRPr="00411B94">
        <w:rPr>
          <w:sz w:val="22"/>
          <w:szCs w:val="22"/>
        </w:rPr>
        <w:t>10</w:t>
      </w:r>
      <w:r w:rsidR="000A5987">
        <w:rPr>
          <w:sz w:val="22"/>
          <w:szCs w:val="22"/>
        </w:rPr>
        <w:t>)</w:t>
      </w:r>
      <w:r w:rsidR="007D220A" w:rsidRPr="00411B94">
        <w:rPr>
          <w:sz w:val="22"/>
          <w:szCs w:val="22"/>
        </w:rPr>
        <w:t xml:space="preserve"> points</w:t>
      </w:r>
      <w:r w:rsidRPr="00411B94">
        <w:rPr>
          <w:sz w:val="22"/>
          <w:szCs w:val="22"/>
        </w:rPr>
        <w:t xml:space="preserve"> </w:t>
      </w:r>
      <w:r w:rsidR="00C6352F" w:rsidRPr="00411B94">
        <w:rPr>
          <w:sz w:val="22"/>
          <w:szCs w:val="22"/>
        </w:rPr>
        <w:t>may</w:t>
      </w:r>
      <w:r w:rsidRPr="00411B94">
        <w:rPr>
          <w:sz w:val="22"/>
          <w:szCs w:val="22"/>
        </w:rPr>
        <w:t xml:space="preserve"> be given to those developments achieving the following optional </w:t>
      </w:r>
      <w:r w:rsidR="0002231C">
        <w:rPr>
          <w:sz w:val="22"/>
          <w:szCs w:val="22"/>
        </w:rPr>
        <w:t xml:space="preserve">2015 </w:t>
      </w:r>
      <w:r w:rsidR="00411B94" w:rsidRPr="00411B94">
        <w:rPr>
          <w:sz w:val="22"/>
          <w:szCs w:val="22"/>
        </w:rPr>
        <w:t xml:space="preserve">Enterprise Green Communities Criteria </w:t>
      </w:r>
      <w:r w:rsidRPr="00411B94">
        <w:rPr>
          <w:sz w:val="22"/>
          <w:szCs w:val="22"/>
        </w:rPr>
        <w:t xml:space="preserve">points: </w:t>
      </w:r>
      <w:r w:rsidR="00C8438A">
        <w:rPr>
          <w:sz w:val="22"/>
          <w:szCs w:val="22"/>
        </w:rPr>
        <w:t>twenty-five (</w:t>
      </w:r>
      <w:r w:rsidRPr="00411B94">
        <w:rPr>
          <w:sz w:val="22"/>
          <w:szCs w:val="22"/>
        </w:rPr>
        <w:t>25</w:t>
      </w:r>
      <w:r w:rsidR="00C8438A">
        <w:rPr>
          <w:sz w:val="22"/>
          <w:szCs w:val="22"/>
        </w:rPr>
        <w:t>)</w:t>
      </w:r>
      <w:r w:rsidRPr="00411B94">
        <w:rPr>
          <w:sz w:val="22"/>
          <w:szCs w:val="22"/>
        </w:rPr>
        <w:t xml:space="preserve"> points for new construction and </w:t>
      </w:r>
      <w:r w:rsidR="00C8438A">
        <w:rPr>
          <w:sz w:val="22"/>
          <w:szCs w:val="22"/>
        </w:rPr>
        <w:t>twenty (</w:t>
      </w:r>
      <w:r w:rsidRPr="00411B94">
        <w:rPr>
          <w:sz w:val="22"/>
          <w:szCs w:val="22"/>
        </w:rPr>
        <w:t>20</w:t>
      </w:r>
      <w:r w:rsidR="00C8438A">
        <w:rPr>
          <w:sz w:val="22"/>
          <w:szCs w:val="22"/>
        </w:rPr>
        <w:t>)</w:t>
      </w:r>
      <w:r w:rsidRPr="00411B94">
        <w:rPr>
          <w:sz w:val="22"/>
          <w:szCs w:val="22"/>
        </w:rPr>
        <w:t xml:space="preserve"> points for substantial or modera</w:t>
      </w:r>
      <w:r w:rsidR="00DB32B5" w:rsidRPr="00411B94">
        <w:rPr>
          <w:sz w:val="22"/>
          <w:szCs w:val="22"/>
        </w:rPr>
        <w:t>te</w:t>
      </w:r>
      <w:r w:rsidRPr="00411B94">
        <w:rPr>
          <w:sz w:val="22"/>
          <w:szCs w:val="22"/>
        </w:rPr>
        <w:t xml:space="preserve"> rehabilitation properties (which would include Preservation projects).</w:t>
      </w:r>
    </w:p>
    <w:p w:rsidR="007D220A" w:rsidRPr="00411B94" w:rsidRDefault="000F54E0" w:rsidP="005B6B8D">
      <w:pPr>
        <w:spacing w:line="0" w:lineRule="atLeast"/>
        <w:ind w:left="900"/>
        <w:rPr>
          <w:sz w:val="22"/>
          <w:szCs w:val="22"/>
        </w:rPr>
      </w:pPr>
      <w:r w:rsidRPr="00411B94">
        <w:rPr>
          <w:sz w:val="22"/>
          <w:szCs w:val="22"/>
        </w:rPr>
        <w:t xml:space="preserve"> </w:t>
      </w:r>
    </w:p>
    <w:p w:rsidR="00741B82" w:rsidRDefault="00FB670A" w:rsidP="005B6B8D">
      <w:pPr>
        <w:pStyle w:val="ListParagraph"/>
        <w:numPr>
          <w:ilvl w:val="0"/>
          <w:numId w:val="44"/>
        </w:numPr>
        <w:spacing w:line="0" w:lineRule="atLeast"/>
        <w:ind w:left="1260"/>
        <w:rPr>
          <w:sz w:val="22"/>
          <w:szCs w:val="22"/>
        </w:rPr>
      </w:pPr>
      <w:r w:rsidRPr="00411B94">
        <w:rPr>
          <w:sz w:val="22"/>
          <w:szCs w:val="22"/>
        </w:rPr>
        <w:t>Energy Efficiency Goals –</w:t>
      </w:r>
    </w:p>
    <w:p w:rsidR="00CC4A5A" w:rsidRDefault="00CC4A5A" w:rsidP="00195F80">
      <w:pPr>
        <w:pStyle w:val="ListParagraph"/>
        <w:spacing w:line="240" w:lineRule="auto"/>
        <w:rPr>
          <w:sz w:val="22"/>
          <w:szCs w:val="22"/>
        </w:rPr>
      </w:pPr>
    </w:p>
    <w:p w:rsidR="00CC4A5A" w:rsidRDefault="00AA3CFE" w:rsidP="00291655">
      <w:pPr>
        <w:pStyle w:val="ListParagraph"/>
        <w:widowControl/>
        <w:numPr>
          <w:ilvl w:val="0"/>
          <w:numId w:val="56"/>
        </w:numPr>
        <w:spacing w:line="0" w:lineRule="atLeast"/>
        <w:ind w:left="1714"/>
        <w:rPr>
          <w:sz w:val="22"/>
          <w:szCs w:val="22"/>
        </w:rPr>
      </w:pPr>
      <w:r>
        <w:rPr>
          <w:sz w:val="22"/>
          <w:szCs w:val="22"/>
        </w:rPr>
        <w:t>Reduced HERS Index –</w:t>
      </w:r>
      <w:r w:rsidR="00C8438A">
        <w:rPr>
          <w:sz w:val="22"/>
          <w:szCs w:val="22"/>
        </w:rPr>
        <w:t xml:space="preserve"> five (</w:t>
      </w:r>
      <w:r>
        <w:rPr>
          <w:sz w:val="22"/>
          <w:szCs w:val="22"/>
        </w:rPr>
        <w:t>5</w:t>
      </w:r>
      <w:r w:rsidR="00C8438A">
        <w:rPr>
          <w:sz w:val="22"/>
          <w:szCs w:val="22"/>
        </w:rPr>
        <w:t>)</w:t>
      </w:r>
      <w:r>
        <w:rPr>
          <w:sz w:val="22"/>
          <w:szCs w:val="22"/>
        </w:rPr>
        <w:t xml:space="preserve"> point</w:t>
      </w:r>
      <w:r w:rsidR="00175AEB">
        <w:rPr>
          <w:sz w:val="22"/>
          <w:szCs w:val="22"/>
        </w:rPr>
        <w:t>s may be awarded to those develop</w:t>
      </w:r>
      <w:r>
        <w:rPr>
          <w:sz w:val="22"/>
          <w:szCs w:val="22"/>
        </w:rPr>
        <w:t>ments that exceed the requirements of Energy Star</w:t>
      </w:r>
      <w:r w:rsidR="00B1782C" w:rsidRPr="00411B94">
        <w:rPr>
          <w:sz w:val="22"/>
          <w:szCs w:val="22"/>
          <w:u w:color="FF0000"/>
        </w:rPr>
        <w:t>®</w:t>
      </w:r>
      <w:r>
        <w:rPr>
          <w:sz w:val="22"/>
          <w:szCs w:val="22"/>
        </w:rPr>
        <w:t xml:space="preserve"> Version 3.0 by achieving a lower HERS </w:t>
      </w:r>
      <w:r>
        <w:rPr>
          <w:sz w:val="22"/>
          <w:szCs w:val="22"/>
        </w:rPr>
        <w:lastRenderedPageBreak/>
        <w:t>Index as specified in the Guidelines</w:t>
      </w:r>
      <w:r w:rsidR="0049091C">
        <w:rPr>
          <w:sz w:val="22"/>
          <w:szCs w:val="22"/>
        </w:rPr>
        <w:t>.</w:t>
      </w:r>
      <w:r>
        <w:rPr>
          <w:sz w:val="22"/>
          <w:szCs w:val="22"/>
        </w:rPr>
        <w:t xml:space="preserve"> (Points in this category are not available if seeking points for Passive House</w:t>
      </w:r>
      <w:r w:rsidR="0049091C">
        <w:rPr>
          <w:sz w:val="22"/>
          <w:szCs w:val="22"/>
        </w:rPr>
        <w:t>.</w:t>
      </w:r>
      <w:r>
        <w:rPr>
          <w:sz w:val="22"/>
          <w:szCs w:val="22"/>
        </w:rPr>
        <w:t>)</w:t>
      </w:r>
    </w:p>
    <w:p w:rsidR="00CC4A5A" w:rsidRDefault="00CC4A5A">
      <w:pPr>
        <w:pStyle w:val="ListParagraph"/>
        <w:spacing w:line="0" w:lineRule="atLeast"/>
        <w:ind w:left="1710"/>
        <w:rPr>
          <w:sz w:val="22"/>
          <w:szCs w:val="22"/>
        </w:rPr>
      </w:pPr>
    </w:p>
    <w:p w:rsidR="00CC4A5A" w:rsidRDefault="00AA3CFE">
      <w:pPr>
        <w:pStyle w:val="ListParagraph"/>
        <w:numPr>
          <w:ilvl w:val="0"/>
          <w:numId w:val="56"/>
        </w:numPr>
        <w:spacing w:line="0" w:lineRule="atLeast"/>
        <w:ind w:left="1710"/>
        <w:rPr>
          <w:sz w:val="22"/>
          <w:szCs w:val="22"/>
        </w:rPr>
      </w:pPr>
      <w:r>
        <w:rPr>
          <w:sz w:val="22"/>
          <w:szCs w:val="22"/>
        </w:rPr>
        <w:t xml:space="preserve">Passive House </w:t>
      </w:r>
      <w:r w:rsidR="00C8438A">
        <w:rPr>
          <w:sz w:val="22"/>
          <w:szCs w:val="22"/>
        </w:rPr>
        <w:t>–</w:t>
      </w:r>
      <w:r>
        <w:rPr>
          <w:sz w:val="22"/>
          <w:szCs w:val="22"/>
        </w:rPr>
        <w:t xml:space="preserve"> </w:t>
      </w:r>
      <w:r w:rsidR="00C8438A">
        <w:rPr>
          <w:sz w:val="22"/>
          <w:szCs w:val="22"/>
        </w:rPr>
        <w:t>ten (</w:t>
      </w:r>
      <w:r w:rsidR="0097743D" w:rsidRPr="00411B94">
        <w:rPr>
          <w:sz w:val="22"/>
          <w:szCs w:val="22"/>
        </w:rPr>
        <w:t>10</w:t>
      </w:r>
      <w:r w:rsidR="00FB670A" w:rsidRPr="00411B94">
        <w:rPr>
          <w:sz w:val="22"/>
          <w:szCs w:val="22"/>
        </w:rPr>
        <w:t xml:space="preserve"> point</w:t>
      </w:r>
      <w:r w:rsidR="0097743D" w:rsidRPr="00411B94">
        <w:rPr>
          <w:sz w:val="22"/>
          <w:szCs w:val="22"/>
        </w:rPr>
        <w:t>s</w:t>
      </w:r>
      <w:r w:rsidR="00FB670A" w:rsidRPr="00411B94">
        <w:rPr>
          <w:sz w:val="22"/>
          <w:szCs w:val="22"/>
        </w:rPr>
        <w:t xml:space="preserve"> may be awarded to those development</w:t>
      </w:r>
      <w:r w:rsidR="007D220A" w:rsidRPr="00411B94">
        <w:rPr>
          <w:sz w:val="22"/>
          <w:szCs w:val="22"/>
        </w:rPr>
        <w:t>s</w:t>
      </w:r>
      <w:r w:rsidR="00FB670A" w:rsidRPr="00411B94">
        <w:rPr>
          <w:sz w:val="22"/>
          <w:szCs w:val="22"/>
        </w:rPr>
        <w:t xml:space="preserve"> which </w:t>
      </w:r>
      <w:r w:rsidR="007D5711" w:rsidRPr="00411B94">
        <w:rPr>
          <w:sz w:val="22"/>
          <w:szCs w:val="22"/>
        </w:rPr>
        <w:t xml:space="preserve">meet Passive House </w:t>
      </w:r>
      <w:r w:rsidR="00175AEB">
        <w:rPr>
          <w:sz w:val="22"/>
          <w:szCs w:val="22"/>
        </w:rPr>
        <w:t xml:space="preserve">Requirements </w:t>
      </w:r>
      <w:r w:rsidR="00F31A51" w:rsidRPr="00411B94">
        <w:rPr>
          <w:sz w:val="22"/>
          <w:szCs w:val="22"/>
        </w:rPr>
        <w:t>(nationally or internationally)</w:t>
      </w:r>
      <w:r w:rsidR="007D5711" w:rsidRPr="00411B94">
        <w:rPr>
          <w:sz w:val="22"/>
          <w:szCs w:val="22"/>
        </w:rPr>
        <w:t xml:space="preserve"> for energy efficiency. </w:t>
      </w:r>
      <w:r w:rsidR="00376F47" w:rsidRPr="00411B94">
        <w:rPr>
          <w:sz w:val="22"/>
          <w:szCs w:val="22"/>
        </w:rPr>
        <w:t xml:space="preserve">(See Multifamily Housing Application and Guidelines and </w:t>
      </w:r>
      <w:r w:rsidR="0049091C">
        <w:rPr>
          <w:sz w:val="22"/>
          <w:szCs w:val="22"/>
        </w:rPr>
        <w:t>“</w:t>
      </w:r>
      <w:hyperlink r:id="rId15" w:history="1">
        <w:r w:rsidR="00376F47" w:rsidRPr="00411B94">
          <w:rPr>
            <w:rStyle w:val="Hyperlink"/>
            <w:color w:val="auto"/>
            <w:sz w:val="22"/>
            <w:szCs w:val="22"/>
          </w:rPr>
          <w:t>www.passivehouse.us</w:t>
        </w:r>
      </w:hyperlink>
      <w:r w:rsidR="0049091C">
        <w:t>”</w:t>
      </w:r>
      <w:r w:rsidR="00376F47" w:rsidRPr="00411B94">
        <w:rPr>
          <w:sz w:val="22"/>
          <w:szCs w:val="22"/>
        </w:rPr>
        <w:t xml:space="preserve"> </w:t>
      </w:r>
      <w:r w:rsidR="00C5422B" w:rsidRPr="00411B94">
        <w:rPr>
          <w:sz w:val="22"/>
          <w:szCs w:val="22"/>
        </w:rPr>
        <w:t xml:space="preserve">or </w:t>
      </w:r>
      <w:r w:rsidR="0049091C">
        <w:rPr>
          <w:sz w:val="22"/>
          <w:szCs w:val="22"/>
        </w:rPr>
        <w:t>“</w:t>
      </w:r>
      <w:hyperlink r:id="rId16" w:history="1">
        <w:r w:rsidR="006A6C08">
          <w:rPr>
            <w:rStyle w:val="Hyperlink"/>
            <w:color w:val="auto"/>
          </w:rPr>
          <w:t>www.passivehouseacademy.com</w:t>
        </w:r>
      </w:hyperlink>
      <w:r w:rsidR="0049091C">
        <w:t>”</w:t>
      </w:r>
      <w:r w:rsidR="006A6C08">
        <w:t xml:space="preserve"> </w:t>
      </w:r>
      <w:r w:rsidR="00E3145D" w:rsidRPr="00411B94">
        <w:rPr>
          <w:sz w:val="22"/>
          <w:szCs w:val="22"/>
        </w:rPr>
        <w:t xml:space="preserve">  </w:t>
      </w:r>
      <w:r w:rsidR="00376F47" w:rsidRPr="00411B94">
        <w:rPr>
          <w:sz w:val="22"/>
          <w:szCs w:val="22"/>
        </w:rPr>
        <w:t>for additional guidance.)</w:t>
      </w:r>
    </w:p>
    <w:p w:rsidR="005B6B8D" w:rsidRPr="00411B94" w:rsidRDefault="005B6B8D" w:rsidP="00CE0F08">
      <w:pPr>
        <w:spacing w:line="240" w:lineRule="auto"/>
        <w:ind w:left="1260"/>
        <w:rPr>
          <w:sz w:val="22"/>
          <w:szCs w:val="22"/>
        </w:rPr>
      </w:pPr>
    </w:p>
    <w:p w:rsidR="00CE0F08" w:rsidRPr="00411B94" w:rsidRDefault="00F565CF" w:rsidP="00CE0F08">
      <w:pPr>
        <w:spacing w:line="240" w:lineRule="auto"/>
        <w:ind w:left="1260"/>
        <w:rPr>
          <w:sz w:val="22"/>
          <w:szCs w:val="22"/>
        </w:rPr>
      </w:pPr>
      <w:r w:rsidRPr="00411B94">
        <w:rPr>
          <w:sz w:val="22"/>
          <w:szCs w:val="22"/>
        </w:rPr>
        <w:t>Please revie</w:t>
      </w:r>
      <w:r w:rsidR="00135D18" w:rsidRPr="00411B94">
        <w:rPr>
          <w:sz w:val="22"/>
          <w:szCs w:val="22"/>
        </w:rPr>
        <w:t>w</w:t>
      </w:r>
      <w:r w:rsidRPr="00411B94">
        <w:rPr>
          <w:sz w:val="22"/>
          <w:szCs w:val="22"/>
        </w:rPr>
        <w:t xml:space="preserve"> the </w:t>
      </w:r>
      <w:r w:rsidR="00AF1F86">
        <w:rPr>
          <w:sz w:val="22"/>
          <w:szCs w:val="22"/>
        </w:rPr>
        <w:t>2016</w:t>
      </w:r>
      <w:r w:rsidR="006B5455" w:rsidRPr="00411B94">
        <w:rPr>
          <w:sz w:val="22"/>
          <w:szCs w:val="22"/>
        </w:rPr>
        <w:t xml:space="preserve"> </w:t>
      </w:r>
      <w:r w:rsidRPr="00411B94">
        <w:rPr>
          <w:sz w:val="22"/>
          <w:szCs w:val="22"/>
        </w:rPr>
        <w:t>Guidelines for specific requirements</w:t>
      </w:r>
      <w:r w:rsidR="005B6B8D" w:rsidRPr="00411B94">
        <w:rPr>
          <w:sz w:val="22"/>
          <w:szCs w:val="22"/>
        </w:rPr>
        <w:t xml:space="preserve"> for the above criteria</w:t>
      </w:r>
      <w:r w:rsidRPr="00411B94">
        <w:rPr>
          <w:sz w:val="22"/>
          <w:szCs w:val="22"/>
        </w:rPr>
        <w:t>.</w:t>
      </w:r>
    </w:p>
    <w:p w:rsidR="00D312C7" w:rsidRPr="00411B94" w:rsidRDefault="00D312C7" w:rsidP="003C4658">
      <w:pPr>
        <w:spacing w:line="240" w:lineRule="auto"/>
        <w:ind w:left="1260" w:hanging="360"/>
        <w:rPr>
          <w:sz w:val="16"/>
          <w:szCs w:val="16"/>
        </w:rPr>
      </w:pPr>
      <w:r w:rsidRPr="00411B94">
        <w:rPr>
          <w:rFonts w:ascii="Arial" w:hAnsi="Arial" w:cs="Arial"/>
          <w:sz w:val="22"/>
          <w:szCs w:val="22"/>
        </w:rPr>
        <w:tab/>
      </w:r>
    </w:p>
    <w:p w:rsidR="006F0E90" w:rsidRPr="00411B94" w:rsidRDefault="001E4B16" w:rsidP="00E94493">
      <w:pPr>
        <w:pStyle w:val="Header"/>
        <w:tabs>
          <w:tab w:val="clear" w:pos="4320"/>
          <w:tab w:val="clear" w:pos="8640"/>
          <w:tab w:val="num" w:pos="1140"/>
        </w:tabs>
        <w:spacing w:line="240" w:lineRule="auto"/>
        <w:ind w:left="720"/>
        <w:rPr>
          <w:sz w:val="22"/>
          <w:szCs w:val="22"/>
        </w:rPr>
      </w:pPr>
      <w:r w:rsidRPr="00411B94">
        <w:rPr>
          <w:sz w:val="22"/>
          <w:szCs w:val="22"/>
        </w:rPr>
        <w:tab/>
      </w:r>
      <w:r w:rsidR="000E5527" w:rsidRPr="00411B94">
        <w:rPr>
          <w:sz w:val="22"/>
          <w:szCs w:val="22"/>
        </w:rPr>
        <w:t xml:space="preserve">The Agency will review the architectural documents submitted with the proposal to confirm the existence of the proposed amenities.  A certification from the design architect verifying the inclusion of the amenities in the development must be submitted with the Application. Confirmation from the construction contract administration architect is required with the submission of the cost certification documents.  Amenities should be appropriate for the proposed resident population.  The appropriateness and adequacy of the proposed amenities for ranking purposes will be determined at the sole discretion of the Agency.  Verification of the availability of all amenities may be required by the Agency at any time and throughout the development’s compliance period.  </w:t>
      </w:r>
    </w:p>
    <w:p w:rsidR="000D4977" w:rsidRPr="00411B94" w:rsidRDefault="000D4977" w:rsidP="00E94493">
      <w:pPr>
        <w:pStyle w:val="Header"/>
        <w:tabs>
          <w:tab w:val="clear" w:pos="4320"/>
          <w:tab w:val="clear" w:pos="8640"/>
          <w:tab w:val="num" w:pos="1140"/>
        </w:tabs>
        <w:spacing w:line="240" w:lineRule="auto"/>
        <w:ind w:left="720"/>
        <w:rPr>
          <w:sz w:val="22"/>
          <w:szCs w:val="22"/>
        </w:rPr>
      </w:pPr>
    </w:p>
    <w:tbl>
      <w:tblPr>
        <w:tblW w:w="0" w:type="auto"/>
        <w:tblBorders>
          <w:insideH w:val="single" w:sz="4" w:space="0" w:color="auto"/>
        </w:tblBorders>
        <w:tblLayout w:type="fixed"/>
        <w:tblLook w:val="0000" w:firstRow="0" w:lastRow="0" w:firstColumn="0" w:lastColumn="0" w:noHBand="0" w:noVBand="0"/>
      </w:tblPr>
      <w:tblGrid>
        <w:gridCol w:w="6588"/>
        <w:gridCol w:w="2268"/>
      </w:tblGrid>
      <w:tr w:rsidR="000E5527" w:rsidRPr="00411B94" w:rsidTr="005A64C3">
        <w:tc>
          <w:tcPr>
            <w:tcW w:w="6588" w:type="dxa"/>
            <w:tcBorders>
              <w:top w:val="nil"/>
              <w:bottom w:val="nil"/>
            </w:tcBorders>
          </w:tcPr>
          <w:p w:rsidR="000E5527" w:rsidRPr="00411B94" w:rsidRDefault="000E5527" w:rsidP="000B52B4">
            <w:pPr>
              <w:pStyle w:val="Header"/>
              <w:tabs>
                <w:tab w:val="clear" w:pos="4320"/>
                <w:tab w:val="clear" w:pos="8640"/>
              </w:tabs>
              <w:spacing w:after="120" w:line="240" w:lineRule="auto"/>
              <w:rPr>
                <w:b/>
                <w:sz w:val="22"/>
                <w:szCs w:val="22"/>
              </w:rPr>
            </w:pPr>
            <w:r w:rsidRPr="00411B94">
              <w:rPr>
                <w:sz w:val="22"/>
                <w:szCs w:val="22"/>
              </w:rPr>
              <w:br w:type="page"/>
            </w:r>
            <w:r w:rsidRPr="00411B94">
              <w:rPr>
                <w:sz w:val="22"/>
                <w:szCs w:val="22"/>
              </w:rPr>
              <w:br w:type="page"/>
            </w:r>
            <w:r w:rsidRPr="00411B94">
              <w:rPr>
                <w:sz w:val="22"/>
                <w:szCs w:val="22"/>
              </w:rPr>
              <w:br w:type="page"/>
            </w:r>
            <w:r w:rsidR="001E4B16" w:rsidRPr="00411B94">
              <w:rPr>
                <w:b/>
                <w:sz w:val="22"/>
                <w:szCs w:val="22"/>
              </w:rPr>
              <w:t>C.</w:t>
            </w:r>
            <w:r w:rsidRPr="00411B94">
              <w:rPr>
                <w:b/>
                <w:sz w:val="22"/>
                <w:szCs w:val="22"/>
              </w:rPr>
              <w:t xml:space="preserve">  Resident Population and Services</w:t>
            </w:r>
          </w:p>
        </w:tc>
        <w:tc>
          <w:tcPr>
            <w:tcW w:w="2268" w:type="dxa"/>
            <w:tcBorders>
              <w:top w:val="nil"/>
              <w:bottom w:val="nil"/>
            </w:tcBorders>
          </w:tcPr>
          <w:p w:rsidR="000E5527" w:rsidRPr="00411B94" w:rsidRDefault="00135D18" w:rsidP="000B52B4">
            <w:pPr>
              <w:pStyle w:val="Header"/>
              <w:tabs>
                <w:tab w:val="clear" w:pos="4320"/>
                <w:tab w:val="clear" w:pos="8640"/>
              </w:tabs>
              <w:spacing w:after="120" w:line="240" w:lineRule="auto"/>
              <w:jc w:val="right"/>
              <w:rPr>
                <w:i/>
                <w:sz w:val="22"/>
                <w:szCs w:val="22"/>
              </w:rPr>
            </w:pPr>
            <w:r w:rsidRPr="00411B94">
              <w:rPr>
                <w:i/>
                <w:sz w:val="22"/>
                <w:szCs w:val="22"/>
              </w:rPr>
              <w:t xml:space="preserve">50 </w:t>
            </w:r>
            <w:r w:rsidR="000E5527" w:rsidRPr="00411B94">
              <w:rPr>
                <w:i/>
                <w:sz w:val="22"/>
                <w:szCs w:val="22"/>
              </w:rPr>
              <w:t>points</w:t>
            </w:r>
          </w:p>
        </w:tc>
      </w:tr>
    </w:tbl>
    <w:p w:rsidR="00B65F0A" w:rsidRPr="00411B94" w:rsidRDefault="000E5527" w:rsidP="00E94493">
      <w:pPr>
        <w:pStyle w:val="Header"/>
        <w:tabs>
          <w:tab w:val="clear" w:pos="4320"/>
          <w:tab w:val="clear" w:pos="8640"/>
        </w:tabs>
        <w:spacing w:after="120" w:line="240" w:lineRule="auto"/>
        <w:ind w:left="720" w:hanging="360"/>
        <w:rPr>
          <w:sz w:val="22"/>
          <w:szCs w:val="22"/>
          <w:u w:color="FF0000"/>
        </w:rPr>
      </w:pPr>
      <w:r w:rsidRPr="00411B94">
        <w:rPr>
          <w:sz w:val="22"/>
          <w:szCs w:val="22"/>
        </w:rPr>
        <w:t>1.</w:t>
      </w:r>
      <w:r w:rsidRPr="00411B94">
        <w:rPr>
          <w:sz w:val="22"/>
          <w:szCs w:val="22"/>
        </w:rPr>
        <w:tab/>
      </w:r>
      <w:r w:rsidRPr="00411B94">
        <w:rPr>
          <w:sz w:val="22"/>
          <w:szCs w:val="22"/>
          <w:u w:val="single"/>
        </w:rPr>
        <w:t>Income and Rent Targeting</w:t>
      </w:r>
      <w:r w:rsidR="0075053D" w:rsidRPr="00411B94">
        <w:rPr>
          <w:sz w:val="22"/>
          <w:szCs w:val="22"/>
          <w:u w:val="single"/>
        </w:rPr>
        <w:t xml:space="preserve"> </w:t>
      </w:r>
      <w:r w:rsidRPr="00411B94">
        <w:rPr>
          <w:sz w:val="22"/>
          <w:szCs w:val="22"/>
        </w:rPr>
        <w:t xml:space="preserve">– </w:t>
      </w:r>
      <w:r w:rsidR="003466DF" w:rsidRPr="00411B94">
        <w:rPr>
          <w:sz w:val="22"/>
          <w:szCs w:val="22"/>
          <w:u w:color="FF0000"/>
        </w:rPr>
        <w:t xml:space="preserve">The </w:t>
      </w:r>
      <w:r w:rsidR="00681BCA" w:rsidRPr="00411B94">
        <w:rPr>
          <w:sz w:val="22"/>
          <w:szCs w:val="22"/>
          <w:u w:color="FF0000"/>
        </w:rPr>
        <w:t>A</w:t>
      </w:r>
      <w:r w:rsidR="003466DF" w:rsidRPr="00411B94">
        <w:rPr>
          <w:sz w:val="22"/>
          <w:szCs w:val="22"/>
          <w:u w:color="FF0000"/>
        </w:rPr>
        <w:t>pplicant</w:t>
      </w:r>
      <w:r w:rsidR="00681BCA" w:rsidRPr="00411B94">
        <w:rPr>
          <w:sz w:val="22"/>
          <w:szCs w:val="22"/>
          <w:u w:color="FF0000"/>
        </w:rPr>
        <w:t>s</w:t>
      </w:r>
      <w:r w:rsidR="003466DF" w:rsidRPr="00411B94">
        <w:rPr>
          <w:sz w:val="22"/>
          <w:szCs w:val="22"/>
          <w:u w:color="FF0000"/>
        </w:rPr>
        <w:t xml:space="preserve"> may be awarded up to </w:t>
      </w:r>
      <w:r w:rsidR="000A5987">
        <w:rPr>
          <w:sz w:val="22"/>
          <w:szCs w:val="22"/>
          <w:u w:color="FF0000"/>
        </w:rPr>
        <w:t>twenty (</w:t>
      </w:r>
      <w:r w:rsidR="003B1942" w:rsidRPr="00411B94">
        <w:rPr>
          <w:sz w:val="22"/>
          <w:szCs w:val="22"/>
          <w:u w:color="FF0000"/>
        </w:rPr>
        <w:t>20</w:t>
      </w:r>
      <w:r w:rsidR="000A5987">
        <w:rPr>
          <w:sz w:val="22"/>
          <w:szCs w:val="22"/>
          <w:u w:color="FF0000"/>
        </w:rPr>
        <w:t>)</w:t>
      </w:r>
      <w:r w:rsidR="000A009B" w:rsidRPr="00411B94">
        <w:rPr>
          <w:sz w:val="22"/>
          <w:szCs w:val="22"/>
          <w:u w:color="FF0000"/>
        </w:rPr>
        <w:t xml:space="preserve"> </w:t>
      </w:r>
      <w:r w:rsidR="003466DF" w:rsidRPr="00411B94">
        <w:rPr>
          <w:sz w:val="22"/>
          <w:szCs w:val="22"/>
          <w:u w:color="FF0000"/>
        </w:rPr>
        <w:t>points for d</w:t>
      </w:r>
      <w:r w:rsidRPr="00411B94">
        <w:rPr>
          <w:sz w:val="22"/>
          <w:szCs w:val="22"/>
          <w:u w:color="FF0000"/>
        </w:rPr>
        <w:t>evelopments that are designed to be substantially occupied by and affordable to residents with incomes that are at or below 50 percent of the area median income.  Points will be considered for the following percentages of units</w:t>
      </w:r>
      <w:r w:rsidR="007C441F" w:rsidRPr="00411B94">
        <w:rPr>
          <w:sz w:val="22"/>
          <w:szCs w:val="22"/>
          <w:u w:color="FF0000"/>
        </w:rPr>
        <w:t xml:space="preserve"> affordable to and occupied by</w:t>
      </w:r>
      <w:r w:rsidRPr="00411B94">
        <w:rPr>
          <w:sz w:val="22"/>
          <w:szCs w:val="22"/>
          <w:u w:color="FF0000"/>
        </w:rPr>
        <w:t xml:space="preserve"> </w:t>
      </w:r>
      <w:r w:rsidR="007C441F" w:rsidRPr="00411B94">
        <w:rPr>
          <w:sz w:val="22"/>
          <w:szCs w:val="22"/>
          <w:u w:color="FF0000"/>
        </w:rPr>
        <w:t xml:space="preserve">residents </w:t>
      </w:r>
      <w:r w:rsidRPr="00411B94">
        <w:rPr>
          <w:sz w:val="22"/>
          <w:szCs w:val="22"/>
          <w:u w:color="FF0000"/>
        </w:rPr>
        <w:t>whose incomes are at or below 50 percent of area median income:</w:t>
      </w:r>
      <w:r w:rsidR="00AC5A02" w:rsidRPr="00411B94">
        <w:rPr>
          <w:sz w:val="22"/>
          <w:szCs w:val="22"/>
          <w:u w:color="FF0000"/>
        </w:rPr>
        <w:t xml:space="preserve"> </w:t>
      </w:r>
    </w:p>
    <w:tbl>
      <w:tblPr>
        <w:tblW w:w="0" w:type="auto"/>
        <w:jc w:val="center"/>
        <w:tblLayout w:type="fixed"/>
        <w:tblLook w:val="0000" w:firstRow="0" w:lastRow="0" w:firstColumn="0" w:lastColumn="0" w:noHBand="0" w:noVBand="0"/>
      </w:tblPr>
      <w:tblGrid>
        <w:gridCol w:w="1532"/>
        <w:gridCol w:w="360"/>
        <w:gridCol w:w="1620"/>
      </w:tblGrid>
      <w:tr w:rsidR="000E5527" w:rsidRPr="00411B94">
        <w:trPr>
          <w:jc w:val="center"/>
        </w:trPr>
        <w:tc>
          <w:tcPr>
            <w:tcW w:w="1532" w:type="dxa"/>
            <w:tcBorders>
              <w:bottom w:val="single" w:sz="4" w:space="0" w:color="auto"/>
            </w:tcBorders>
          </w:tcPr>
          <w:p w:rsidR="000E5527" w:rsidRPr="00411B94" w:rsidRDefault="000E5527" w:rsidP="00E94493">
            <w:pPr>
              <w:pStyle w:val="Header"/>
              <w:tabs>
                <w:tab w:val="clear" w:pos="4320"/>
                <w:tab w:val="clear" w:pos="8640"/>
              </w:tabs>
              <w:spacing w:line="240" w:lineRule="auto"/>
              <w:jc w:val="center"/>
              <w:rPr>
                <w:b/>
                <w:sz w:val="22"/>
                <w:szCs w:val="22"/>
                <w:u w:color="FF0000"/>
              </w:rPr>
            </w:pPr>
            <w:r w:rsidRPr="00411B94">
              <w:rPr>
                <w:b/>
                <w:sz w:val="22"/>
                <w:szCs w:val="22"/>
                <w:u w:color="FF0000"/>
              </w:rPr>
              <w:t>Percentage</w:t>
            </w:r>
          </w:p>
        </w:tc>
        <w:tc>
          <w:tcPr>
            <w:tcW w:w="360" w:type="dxa"/>
          </w:tcPr>
          <w:p w:rsidR="000E5527" w:rsidRPr="00411B94" w:rsidRDefault="000E5527" w:rsidP="00E94493">
            <w:pPr>
              <w:pStyle w:val="Header"/>
              <w:tabs>
                <w:tab w:val="clear" w:pos="4320"/>
                <w:tab w:val="clear" w:pos="8640"/>
              </w:tabs>
              <w:spacing w:line="240" w:lineRule="auto"/>
              <w:jc w:val="center"/>
              <w:rPr>
                <w:b/>
                <w:sz w:val="22"/>
                <w:szCs w:val="22"/>
                <w:u w:color="FF0000"/>
              </w:rPr>
            </w:pPr>
          </w:p>
        </w:tc>
        <w:tc>
          <w:tcPr>
            <w:tcW w:w="1620" w:type="dxa"/>
            <w:tcBorders>
              <w:bottom w:val="single" w:sz="4" w:space="0" w:color="auto"/>
            </w:tcBorders>
          </w:tcPr>
          <w:p w:rsidR="000E5527" w:rsidRPr="00411B94" w:rsidRDefault="000E5527" w:rsidP="00E94493">
            <w:pPr>
              <w:pStyle w:val="Header"/>
              <w:tabs>
                <w:tab w:val="clear" w:pos="4320"/>
                <w:tab w:val="clear" w:pos="8640"/>
              </w:tabs>
              <w:spacing w:line="240" w:lineRule="auto"/>
              <w:jc w:val="center"/>
              <w:rPr>
                <w:b/>
                <w:sz w:val="22"/>
                <w:szCs w:val="22"/>
                <w:u w:color="FF0000"/>
              </w:rPr>
            </w:pPr>
            <w:r w:rsidRPr="00411B94">
              <w:rPr>
                <w:b/>
                <w:sz w:val="22"/>
                <w:szCs w:val="22"/>
                <w:u w:color="FF0000"/>
              </w:rPr>
              <w:t>Points</w:t>
            </w:r>
          </w:p>
        </w:tc>
      </w:tr>
      <w:tr w:rsidR="000E5527" w:rsidRPr="00411B94">
        <w:trPr>
          <w:jc w:val="center"/>
        </w:trPr>
        <w:tc>
          <w:tcPr>
            <w:tcW w:w="1532" w:type="dxa"/>
          </w:tcPr>
          <w:p w:rsidR="000E5527" w:rsidRPr="00411B94" w:rsidRDefault="000E5527" w:rsidP="00E94493">
            <w:pPr>
              <w:pStyle w:val="Header"/>
              <w:tabs>
                <w:tab w:val="clear" w:pos="4320"/>
                <w:tab w:val="clear" w:pos="8640"/>
              </w:tabs>
              <w:spacing w:line="240" w:lineRule="auto"/>
              <w:jc w:val="center"/>
              <w:rPr>
                <w:sz w:val="22"/>
                <w:szCs w:val="22"/>
                <w:u w:color="FF0000"/>
              </w:rPr>
            </w:pPr>
            <w:r w:rsidRPr="00411B94">
              <w:rPr>
                <w:sz w:val="22"/>
                <w:szCs w:val="22"/>
                <w:u w:color="FF0000"/>
              </w:rPr>
              <w:t>&gt;10-20%</w:t>
            </w:r>
          </w:p>
        </w:tc>
        <w:tc>
          <w:tcPr>
            <w:tcW w:w="360" w:type="dxa"/>
          </w:tcPr>
          <w:p w:rsidR="000E5527" w:rsidRPr="00411B94" w:rsidRDefault="000E5527" w:rsidP="00E94493">
            <w:pPr>
              <w:pStyle w:val="Header"/>
              <w:tabs>
                <w:tab w:val="clear" w:pos="4320"/>
                <w:tab w:val="clear" w:pos="8640"/>
              </w:tabs>
              <w:spacing w:line="240" w:lineRule="auto"/>
              <w:jc w:val="center"/>
              <w:rPr>
                <w:sz w:val="22"/>
                <w:szCs w:val="22"/>
                <w:u w:color="FF0000"/>
              </w:rPr>
            </w:pPr>
          </w:p>
        </w:tc>
        <w:tc>
          <w:tcPr>
            <w:tcW w:w="1620" w:type="dxa"/>
          </w:tcPr>
          <w:p w:rsidR="000E5527" w:rsidRPr="00411B94" w:rsidRDefault="003B1942" w:rsidP="00E94493">
            <w:pPr>
              <w:pStyle w:val="Header"/>
              <w:tabs>
                <w:tab w:val="clear" w:pos="4320"/>
                <w:tab w:val="clear" w:pos="8640"/>
              </w:tabs>
              <w:spacing w:line="240" w:lineRule="auto"/>
              <w:jc w:val="center"/>
              <w:rPr>
                <w:sz w:val="22"/>
                <w:szCs w:val="22"/>
                <w:u w:color="FF0000"/>
              </w:rPr>
            </w:pPr>
            <w:r w:rsidRPr="00411B94">
              <w:rPr>
                <w:sz w:val="22"/>
                <w:szCs w:val="22"/>
                <w:u w:color="FF0000"/>
              </w:rPr>
              <w:t>4</w:t>
            </w:r>
          </w:p>
        </w:tc>
      </w:tr>
      <w:tr w:rsidR="000E5527" w:rsidRPr="00411B94">
        <w:trPr>
          <w:jc w:val="center"/>
        </w:trPr>
        <w:tc>
          <w:tcPr>
            <w:tcW w:w="1532" w:type="dxa"/>
          </w:tcPr>
          <w:p w:rsidR="000E5527" w:rsidRPr="00411B94" w:rsidRDefault="000E5527" w:rsidP="00E94493">
            <w:pPr>
              <w:pStyle w:val="Header"/>
              <w:tabs>
                <w:tab w:val="clear" w:pos="4320"/>
                <w:tab w:val="clear" w:pos="8640"/>
              </w:tabs>
              <w:spacing w:line="240" w:lineRule="auto"/>
              <w:jc w:val="center"/>
              <w:rPr>
                <w:sz w:val="22"/>
                <w:szCs w:val="22"/>
                <w:u w:color="FF0000"/>
              </w:rPr>
            </w:pPr>
            <w:r w:rsidRPr="00411B94">
              <w:rPr>
                <w:sz w:val="22"/>
                <w:szCs w:val="22"/>
                <w:u w:color="FF0000"/>
              </w:rPr>
              <w:t>&gt;20-30%</w:t>
            </w:r>
          </w:p>
        </w:tc>
        <w:tc>
          <w:tcPr>
            <w:tcW w:w="360" w:type="dxa"/>
          </w:tcPr>
          <w:p w:rsidR="000E5527" w:rsidRPr="00411B94" w:rsidRDefault="000E5527" w:rsidP="00E94493">
            <w:pPr>
              <w:pStyle w:val="Header"/>
              <w:tabs>
                <w:tab w:val="clear" w:pos="4320"/>
                <w:tab w:val="clear" w:pos="8640"/>
              </w:tabs>
              <w:spacing w:line="240" w:lineRule="auto"/>
              <w:jc w:val="center"/>
              <w:rPr>
                <w:sz w:val="22"/>
                <w:szCs w:val="22"/>
                <w:u w:color="FF0000"/>
              </w:rPr>
            </w:pPr>
          </w:p>
        </w:tc>
        <w:tc>
          <w:tcPr>
            <w:tcW w:w="1620" w:type="dxa"/>
          </w:tcPr>
          <w:p w:rsidR="000E5527" w:rsidRPr="00411B94" w:rsidRDefault="003B1942" w:rsidP="00E94493">
            <w:pPr>
              <w:pStyle w:val="Header"/>
              <w:tabs>
                <w:tab w:val="clear" w:pos="4320"/>
                <w:tab w:val="clear" w:pos="8640"/>
              </w:tabs>
              <w:spacing w:line="240" w:lineRule="auto"/>
              <w:jc w:val="center"/>
              <w:rPr>
                <w:sz w:val="22"/>
                <w:szCs w:val="22"/>
                <w:u w:color="FF0000"/>
              </w:rPr>
            </w:pPr>
            <w:r w:rsidRPr="00411B94">
              <w:rPr>
                <w:sz w:val="22"/>
                <w:szCs w:val="22"/>
                <w:u w:color="FF0000"/>
              </w:rPr>
              <w:t>8</w:t>
            </w:r>
          </w:p>
        </w:tc>
      </w:tr>
      <w:tr w:rsidR="000E5527" w:rsidRPr="00411B94">
        <w:trPr>
          <w:jc w:val="center"/>
        </w:trPr>
        <w:tc>
          <w:tcPr>
            <w:tcW w:w="1532" w:type="dxa"/>
          </w:tcPr>
          <w:p w:rsidR="000E5527" w:rsidRPr="00411B94" w:rsidRDefault="000E5527" w:rsidP="00E94493">
            <w:pPr>
              <w:pStyle w:val="Header"/>
              <w:tabs>
                <w:tab w:val="clear" w:pos="4320"/>
                <w:tab w:val="clear" w:pos="8640"/>
              </w:tabs>
              <w:spacing w:line="240" w:lineRule="auto"/>
              <w:jc w:val="center"/>
              <w:rPr>
                <w:sz w:val="22"/>
                <w:szCs w:val="22"/>
                <w:u w:color="FF0000"/>
              </w:rPr>
            </w:pPr>
            <w:r w:rsidRPr="00411B94">
              <w:rPr>
                <w:sz w:val="22"/>
                <w:szCs w:val="22"/>
                <w:u w:color="FF0000"/>
              </w:rPr>
              <w:t>&gt;30-40%</w:t>
            </w:r>
          </w:p>
        </w:tc>
        <w:tc>
          <w:tcPr>
            <w:tcW w:w="360" w:type="dxa"/>
          </w:tcPr>
          <w:p w:rsidR="000E5527" w:rsidRPr="00411B94" w:rsidRDefault="000E5527" w:rsidP="00E94493">
            <w:pPr>
              <w:pStyle w:val="Header"/>
              <w:tabs>
                <w:tab w:val="clear" w:pos="4320"/>
                <w:tab w:val="clear" w:pos="8640"/>
              </w:tabs>
              <w:spacing w:line="240" w:lineRule="auto"/>
              <w:jc w:val="center"/>
              <w:rPr>
                <w:sz w:val="22"/>
                <w:szCs w:val="22"/>
                <w:u w:color="FF0000"/>
              </w:rPr>
            </w:pPr>
          </w:p>
        </w:tc>
        <w:tc>
          <w:tcPr>
            <w:tcW w:w="1620" w:type="dxa"/>
          </w:tcPr>
          <w:p w:rsidR="000E5527" w:rsidRPr="00411B94" w:rsidRDefault="003B1942" w:rsidP="00E94493">
            <w:pPr>
              <w:pStyle w:val="Header"/>
              <w:tabs>
                <w:tab w:val="clear" w:pos="4320"/>
                <w:tab w:val="clear" w:pos="8640"/>
              </w:tabs>
              <w:spacing w:line="240" w:lineRule="auto"/>
              <w:jc w:val="center"/>
              <w:rPr>
                <w:sz w:val="22"/>
                <w:szCs w:val="22"/>
                <w:u w:color="FF0000"/>
              </w:rPr>
            </w:pPr>
            <w:r w:rsidRPr="00411B94">
              <w:rPr>
                <w:sz w:val="22"/>
                <w:szCs w:val="22"/>
                <w:u w:color="FF0000"/>
              </w:rPr>
              <w:t>12</w:t>
            </w:r>
          </w:p>
        </w:tc>
      </w:tr>
      <w:tr w:rsidR="000E5527" w:rsidRPr="00411B94">
        <w:trPr>
          <w:jc w:val="center"/>
        </w:trPr>
        <w:tc>
          <w:tcPr>
            <w:tcW w:w="1532" w:type="dxa"/>
          </w:tcPr>
          <w:p w:rsidR="000E5527" w:rsidRPr="00411B94" w:rsidRDefault="000E5527" w:rsidP="00E94493">
            <w:pPr>
              <w:pStyle w:val="Header"/>
              <w:tabs>
                <w:tab w:val="clear" w:pos="4320"/>
                <w:tab w:val="clear" w:pos="8640"/>
              </w:tabs>
              <w:spacing w:line="240" w:lineRule="auto"/>
              <w:jc w:val="center"/>
              <w:rPr>
                <w:sz w:val="22"/>
                <w:szCs w:val="22"/>
                <w:u w:color="FF0000"/>
              </w:rPr>
            </w:pPr>
            <w:r w:rsidRPr="00411B94">
              <w:rPr>
                <w:sz w:val="22"/>
                <w:szCs w:val="22"/>
                <w:u w:color="FF0000"/>
              </w:rPr>
              <w:t>&gt;40-50%</w:t>
            </w:r>
          </w:p>
        </w:tc>
        <w:tc>
          <w:tcPr>
            <w:tcW w:w="360" w:type="dxa"/>
          </w:tcPr>
          <w:p w:rsidR="000E5527" w:rsidRPr="00411B94" w:rsidRDefault="000E5527" w:rsidP="00E94493">
            <w:pPr>
              <w:pStyle w:val="Header"/>
              <w:tabs>
                <w:tab w:val="clear" w:pos="4320"/>
                <w:tab w:val="clear" w:pos="8640"/>
              </w:tabs>
              <w:spacing w:line="240" w:lineRule="auto"/>
              <w:jc w:val="center"/>
              <w:rPr>
                <w:sz w:val="22"/>
                <w:szCs w:val="22"/>
                <w:u w:color="FF0000"/>
              </w:rPr>
            </w:pPr>
          </w:p>
        </w:tc>
        <w:tc>
          <w:tcPr>
            <w:tcW w:w="1620" w:type="dxa"/>
          </w:tcPr>
          <w:p w:rsidR="000E5527" w:rsidRPr="00411B94" w:rsidRDefault="003B1942" w:rsidP="00E94493">
            <w:pPr>
              <w:pStyle w:val="Header"/>
              <w:tabs>
                <w:tab w:val="clear" w:pos="4320"/>
                <w:tab w:val="clear" w:pos="8640"/>
              </w:tabs>
              <w:spacing w:line="240" w:lineRule="auto"/>
              <w:jc w:val="center"/>
              <w:rPr>
                <w:sz w:val="22"/>
                <w:szCs w:val="22"/>
                <w:u w:color="FF0000"/>
              </w:rPr>
            </w:pPr>
            <w:r w:rsidRPr="00411B94">
              <w:rPr>
                <w:sz w:val="22"/>
                <w:szCs w:val="22"/>
                <w:u w:color="FF0000"/>
              </w:rPr>
              <w:t>16</w:t>
            </w:r>
          </w:p>
        </w:tc>
      </w:tr>
      <w:tr w:rsidR="000E5527" w:rsidRPr="00411B94">
        <w:trPr>
          <w:jc w:val="center"/>
        </w:trPr>
        <w:tc>
          <w:tcPr>
            <w:tcW w:w="1532" w:type="dxa"/>
          </w:tcPr>
          <w:p w:rsidR="000E5527" w:rsidRPr="00411B94" w:rsidRDefault="000E5527" w:rsidP="00E94493">
            <w:pPr>
              <w:pStyle w:val="Header"/>
              <w:tabs>
                <w:tab w:val="clear" w:pos="4320"/>
                <w:tab w:val="clear" w:pos="8640"/>
              </w:tabs>
              <w:spacing w:after="240" w:line="240" w:lineRule="auto"/>
              <w:jc w:val="center"/>
              <w:rPr>
                <w:sz w:val="22"/>
                <w:szCs w:val="22"/>
                <w:u w:color="FF0000"/>
              </w:rPr>
            </w:pPr>
            <w:r w:rsidRPr="00411B94">
              <w:rPr>
                <w:sz w:val="22"/>
                <w:szCs w:val="22"/>
                <w:u w:color="FF0000"/>
              </w:rPr>
              <w:t>&gt;50%</w:t>
            </w:r>
          </w:p>
        </w:tc>
        <w:tc>
          <w:tcPr>
            <w:tcW w:w="360" w:type="dxa"/>
          </w:tcPr>
          <w:p w:rsidR="000E5527" w:rsidRPr="00411B94" w:rsidRDefault="000E5527" w:rsidP="00E94493">
            <w:pPr>
              <w:pStyle w:val="Header"/>
              <w:tabs>
                <w:tab w:val="clear" w:pos="4320"/>
                <w:tab w:val="clear" w:pos="8640"/>
              </w:tabs>
              <w:spacing w:line="240" w:lineRule="auto"/>
              <w:jc w:val="center"/>
              <w:rPr>
                <w:sz w:val="22"/>
                <w:szCs w:val="22"/>
                <w:u w:color="FF0000"/>
              </w:rPr>
            </w:pPr>
          </w:p>
        </w:tc>
        <w:tc>
          <w:tcPr>
            <w:tcW w:w="1620" w:type="dxa"/>
          </w:tcPr>
          <w:p w:rsidR="000E5527" w:rsidRPr="00411B94" w:rsidRDefault="003B1942" w:rsidP="00E94493">
            <w:pPr>
              <w:pStyle w:val="Header"/>
              <w:tabs>
                <w:tab w:val="clear" w:pos="4320"/>
                <w:tab w:val="clear" w:pos="8640"/>
              </w:tabs>
              <w:spacing w:line="240" w:lineRule="auto"/>
              <w:jc w:val="center"/>
              <w:rPr>
                <w:sz w:val="22"/>
                <w:szCs w:val="22"/>
                <w:u w:color="FF0000"/>
              </w:rPr>
            </w:pPr>
            <w:r w:rsidRPr="00411B94">
              <w:rPr>
                <w:sz w:val="22"/>
                <w:szCs w:val="22"/>
                <w:u w:color="FF0000"/>
              </w:rPr>
              <w:t>20</w:t>
            </w:r>
          </w:p>
        </w:tc>
      </w:tr>
    </w:tbl>
    <w:p w:rsidR="0097313F" w:rsidRPr="00411B94" w:rsidRDefault="004B3478" w:rsidP="00E94493">
      <w:pPr>
        <w:pStyle w:val="Header"/>
        <w:tabs>
          <w:tab w:val="clear" w:pos="4320"/>
          <w:tab w:val="clear" w:pos="8640"/>
        </w:tabs>
        <w:spacing w:after="120" w:line="240" w:lineRule="auto"/>
        <w:ind w:left="720" w:hanging="360"/>
        <w:rPr>
          <w:sz w:val="22"/>
          <w:szCs w:val="22"/>
        </w:rPr>
      </w:pPr>
      <w:r w:rsidRPr="00411B94">
        <w:rPr>
          <w:sz w:val="22"/>
          <w:szCs w:val="22"/>
        </w:rPr>
        <w:t>2</w:t>
      </w:r>
      <w:r w:rsidR="000E5527" w:rsidRPr="00411B94">
        <w:rPr>
          <w:sz w:val="22"/>
          <w:szCs w:val="22"/>
        </w:rPr>
        <w:t>.</w:t>
      </w:r>
      <w:r w:rsidR="000E5527" w:rsidRPr="00411B94">
        <w:rPr>
          <w:sz w:val="22"/>
          <w:szCs w:val="22"/>
        </w:rPr>
        <w:tab/>
      </w:r>
      <w:r w:rsidR="00E507CD" w:rsidRPr="00411B94">
        <w:rPr>
          <w:sz w:val="22"/>
          <w:szCs w:val="22"/>
          <w:u w:val="single"/>
        </w:rPr>
        <w:t>Designated Populations</w:t>
      </w:r>
      <w:r w:rsidR="000E5527" w:rsidRPr="00411B94">
        <w:rPr>
          <w:sz w:val="22"/>
          <w:szCs w:val="22"/>
          <w:u w:val="single"/>
        </w:rPr>
        <w:t xml:space="preserve"> &amp; Supportive Services</w:t>
      </w:r>
      <w:r w:rsidR="000E5527" w:rsidRPr="00411B94">
        <w:rPr>
          <w:sz w:val="22"/>
          <w:szCs w:val="22"/>
        </w:rPr>
        <w:t xml:space="preserve"> </w:t>
      </w:r>
      <w:r w:rsidR="006945E2" w:rsidRPr="00411B94">
        <w:rPr>
          <w:sz w:val="22"/>
          <w:szCs w:val="22"/>
        </w:rPr>
        <w:t>– To</w:t>
      </w:r>
      <w:r w:rsidR="00871572" w:rsidRPr="00411B94">
        <w:rPr>
          <w:sz w:val="22"/>
          <w:szCs w:val="22"/>
        </w:rPr>
        <w:t xml:space="preserve"> receive points in this category, the development will provide evidence that appropriate serv</w:t>
      </w:r>
      <w:r w:rsidR="0061134D" w:rsidRPr="00411B94">
        <w:rPr>
          <w:sz w:val="22"/>
          <w:szCs w:val="22"/>
        </w:rPr>
        <w:t>i</w:t>
      </w:r>
      <w:r w:rsidR="00871572" w:rsidRPr="00411B94">
        <w:rPr>
          <w:sz w:val="22"/>
          <w:szCs w:val="22"/>
        </w:rPr>
        <w:t xml:space="preserve">ces will be provided for the entire resident population for the duration of the compliance period.  </w:t>
      </w:r>
      <w:r w:rsidR="000E5527" w:rsidRPr="00411B94">
        <w:rPr>
          <w:sz w:val="22"/>
          <w:szCs w:val="22"/>
        </w:rPr>
        <w:t xml:space="preserve"> Evidence </w:t>
      </w:r>
      <w:r w:rsidR="002B0D34" w:rsidRPr="00411B94">
        <w:rPr>
          <w:sz w:val="22"/>
          <w:szCs w:val="22"/>
        </w:rPr>
        <w:t>consist</w:t>
      </w:r>
      <w:r w:rsidR="000B46FA" w:rsidRPr="00411B94">
        <w:rPr>
          <w:sz w:val="22"/>
          <w:szCs w:val="22"/>
        </w:rPr>
        <w:t>s</w:t>
      </w:r>
      <w:r w:rsidR="002B0D34" w:rsidRPr="00411B94">
        <w:rPr>
          <w:sz w:val="22"/>
          <w:szCs w:val="22"/>
        </w:rPr>
        <w:t xml:space="preserve"> of </w:t>
      </w:r>
      <w:r w:rsidR="00DF7A90" w:rsidRPr="00411B94">
        <w:rPr>
          <w:sz w:val="22"/>
          <w:szCs w:val="22"/>
        </w:rPr>
        <w:t>a supportive services plan that</w:t>
      </w:r>
      <w:r w:rsidR="00871572" w:rsidRPr="00411B94">
        <w:rPr>
          <w:sz w:val="22"/>
          <w:szCs w:val="22"/>
        </w:rPr>
        <w:t>:</w:t>
      </w:r>
    </w:p>
    <w:p w:rsidR="00871572" w:rsidRPr="00411B94" w:rsidRDefault="007A1D09" w:rsidP="00E94493">
      <w:pPr>
        <w:pStyle w:val="Header"/>
        <w:numPr>
          <w:ilvl w:val="0"/>
          <w:numId w:val="16"/>
        </w:numPr>
        <w:tabs>
          <w:tab w:val="clear" w:pos="4320"/>
          <w:tab w:val="clear" w:pos="8640"/>
        </w:tabs>
        <w:spacing w:after="120" w:line="240" w:lineRule="auto"/>
        <w:ind w:left="1080"/>
        <w:rPr>
          <w:sz w:val="22"/>
          <w:szCs w:val="22"/>
        </w:rPr>
      </w:pPr>
      <w:r w:rsidRPr="00411B94">
        <w:rPr>
          <w:sz w:val="22"/>
          <w:szCs w:val="22"/>
        </w:rPr>
        <w:t>I</w:t>
      </w:r>
      <w:r w:rsidR="000E5527" w:rsidRPr="00411B94">
        <w:rPr>
          <w:sz w:val="22"/>
          <w:szCs w:val="22"/>
        </w:rPr>
        <w:t>s specific to the development</w:t>
      </w:r>
      <w:r w:rsidR="00871572" w:rsidRPr="00411B94">
        <w:rPr>
          <w:sz w:val="22"/>
          <w:szCs w:val="22"/>
        </w:rPr>
        <w:t xml:space="preserve"> and </w:t>
      </w:r>
      <w:r w:rsidR="00E52845" w:rsidRPr="00411B94">
        <w:rPr>
          <w:sz w:val="22"/>
          <w:szCs w:val="22"/>
        </w:rPr>
        <w:t>effectively addresses the anticipated service needs of the target resident population</w:t>
      </w:r>
      <w:r w:rsidR="00871572" w:rsidRPr="00411B94">
        <w:rPr>
          <w:sz w:val="22"/>
          <w:szCs w:val="22"/>
        </w:rPr>
        <w:t>.</w:t>
      </w:r>
    </w:p>
    <w:p w:rsidR="0075053D" w:rsidRPr="00411B94" w:rsidRDefault="0075053D" w:rsidP="00E94493">
      <w:pPr>
        <w:pStyle w:val="Header"/>
        <w:tabs>
          <w:tab w:val="clear" w:pos="4320"/>
          <w:tab w:val="clear" w:pos="8640"/>
        </w:tabs>
        <w:spacing w:after="120" w:line="240" w:lineRule="auto"/>
        <w:ind w:left="1080"/>
        <w:rPr>
          <w:sz w:val="22"/>
          <w:szCs w:val="22"/>
          <w:u w:color="FF0000"/>
        </w:rPr>
      </w:pPr>
      <w:r w:rsidRPr="00411B94">
        <w:rPr>
          <w:sz w:val="22"/>
          <w:szCs w:val="22"/>
          <w:u w:color="FF0000"/>
        </w:rPr>
        <w:t xml:space="preserve">General occupancy developments should deliver or coordinate services that: improve building and unit maintenance; stabilize occupancy by improving residents’ ability to uphold their lease obligations; and enhance quality of life through increased self-sufficiency and programs that improve life skills, employment, education, income/asset building, child and youth development, community building, and access to services.  </w:t>
      </w:r>
    </w:p>
    <w:p w:rsidR="0075053D" w:rsidRPr="00411B94" w:rsidRDefault="0075053D" w:rsidP="00E94493">
      <w:pPr>
        <w:pStyle w:val="Header"/>
        <w:tabs>
          <w:tab w:val="clear" w:pos="4320"/>
          <w:tab w:val="clear" w:pos="8640"/>
        </w:tabs>
        <w:spacing w:after="120" w:line="240" w:lineRule="auto"/>
        <w:ind w:left="1080"/>
        <w:rPr>
          <w:sz w:val="22"/>
          <w:szCs w:val="22"/>
          <w:u w:color="FF0000"/>
        </w:rPr>
      </w:pPr>
      <w:r w:rsidRPr="00411B94">
        <w:rPr>
          <w:sz w:val="22"/>
          <w:szCs w:val="22"/>
          <w:u w:color="FF0000"/>
        </w:rPr>
        <w:t xml:space="preserve">Senior occupancy developments should deliver or coordinate services that: stabilize occupancy by improving residents’ ability to uphold their lease obligations throughout the aging process and enhance quality of life through improved access to services and benefits, health promotion, community building, and socialization.  </w:t>
      </w:r>
    </w:p>
    <w:p w:rsidR="00F40881" w:rsidRPr="00411B94" w:rsidRDefault="00F40881" w:rsidP="00E94493">
      <w:pPr>
        <w:pStyle w:val="Header"/>
        <w:tabs>
          <w:tab w:val="clear" w:pos="4320"/>
          <w:tab w:val="clear" w:pos="8640"/>
        </w:tabs>
        <w:spacing w:after="120" w:line="240" w:lineRule="auto"/>
        <w:ind w:left="1080"/>
        <w:rPr>
          <w:sz w:val="22"/>
          <w:szCs w:val="22"/>
          <w:u w:color="FF0000"/>
        </w:rPr>
      </w:pPr>
      <w:r w:rsidRPr="00411B94">
        <w:rPr>
          <w:sz w:val="22"/>
          <w:szCs w:val="22"/>
          <w:u w:color="FF0000"/>
        </w:rPr>
        <w:t xml:space="preserve">Developments </w:t>
      </w:r>
      <w:r w:rsidR="0054501B" w:rsidRPr="00411B94">
        <w:rPr>
          <w:sz w:val="22"/>
          <w:szCs w:val="22"/>
          <w:u w:color="FF0000"/>
        </w:rPr>
        <w:t>for</w:t>
      </w:r>
      <w:r w:rsidRPr="00411B94">
        <w:rPr>
          <w:sz w:val="22"/>
          <w:szCs w:val="22"/>
          <w:u w:color="FF0000"/>
        </w:rPr>
        <w:t xml:space="preserve"> populations </w:t>
      </w:r>
      <w:r w:rsidR="0054501B" w:rsidRPr="00411B94">
        <w:rPr>
          <w:sz w:val="22"/>
          <w:szCs w:val="22"/>
          <w:u w:color="FF0000"/>
        </w:rPr>
        <w:t>with</w:t>
      </w:r>
      <w:r w:rsidRPr="00411B94">
        <w:rPr>
          <w:sz w:val="22"/>
          <w:szCs w:val="22"/>
          <w:u w:color="FF0000"/>
        </w:rPr>
        <w:t xml:space="preserve"> special needs should deliver or coordinate services that stabilize occupancy by improving residents’ ability to uphold their lease obligations and enhance quality of life through improved access to services that support the needs of the targeted population.  </w:t>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tab/>
      </w:r>
      <w:r w:rsidR="00823000">
        <w:rPr>
          <w:sz w:val="22"/>
          <w:szCs w:val="22"/>
          <w:u w:color="FF0000"/>
        </w:rPr>
        <w:lastRenderedPageBreak/>
        <w:tab/>
      </w:r>
    </w:p>
    <w:p w:rsidR="005A6F28" w:rsidRPr="00411B94" w:rsidRDefault="00871572" w:rsidP="00E94493">
      <w:pPr>
        <w:pStyle w:val="Header"/>
        <w:numPr>
          <w:ilvl w:val="0"/>
          <w:numId w:val="16"/>
        </w:numPr>
        <w:tabs>
          <w:tab w:val="clear" w:pos="4320"/>
          <w:tab w:val="clear" w:pos="8640"/>
        </w:tabs>
        <w:spacing w:after="120" w:line="240" w:lineRule="auto"/>
        <w:ind w:left="1080"/>
        <w:rPr>
          <w:sz w:val="22"/>
          <w:szCs w:val="22"/>
        </w:rPr>
      </w:pPr>
      <w:r w:rsidRPr="00411B94">
        <w:rPr>
          <w:sz w:val="22"/>
          <w:szCs w:val="22"/>
        </w:rPr>
        <w:t>Includes sufficient funds to implement the described plan of services</w:t>
      </w:r>
      <w:r w:rsidR="00E11C0A" w:rsidRPr="00411B94">
        <w:rPr>
          <w:sz w:val="22"/>
          <w:szCs w:val="22"/>
        </w:rPr>
        <w:t xml:space="preserve">. </w:t>
      </w:r>
      <w:r w:rsidRPr="00411B94">
        <w:rPr>
          <w:sz w:val="22"/>
          <w:szCs w:val="22"/>
        </w:rPr>
        <w:t xml:space="preserve"> It is recommended that this funding be set aside in a supportive services escrow account</w:t>
      </w:r>
      <w:r w:rsidR="0030311B" w:rsidRPr="00411B94">
        <w:rPr>
          <w:sz w:val="22"/>
          <w:szCs w:val="22"/>
        </w:rPr>
        <w:t xml:space="preserve">.  However, funding through </w:t>
      </w:r>
      <w:r w:rsidRPr="00411B94">
        <w:rPr>
          <w:sz w:val="22"/>
          <w:szCs w:val="22"/>
        </w:rPr>
        <w:t xml:space="preserve">the development's annual operating budget, collaboration with a community-based service provider (include letter of intent or </w:t>
      </w:r>
      <w:r w:rsidR="005A6F28" w:rsidRPr="00411B94">
        <w:rPr>
          <w:sz w:val="22"/>
          <w:szCs w:val="22"/>
        </w:rPr>
        <w:t xml:space="preserve">Memorandum of Understanding) or funds from other identified sources may be used.  If currently committed funds fall short of the </w:t>
      </w:r>
      <w:r w:rsidR="00F40881" w:rsidRPr="00411B94">
        <w:rPr>
          <w:sz w:val="22"/>
          <w:szCs w:val="22"/>
        </w:rPr>
        <w:t>cost of services for at least the first fifteen year</w:t>
      </w:r>
      <w:r w:rsidR="005A6F28" w:rsidRPr="00411B94">
        <w:rPr>
          <w:sz w:val="22"/>
          <w:szCs w:val="22"/>
        </w:rPr>
        <w:t xml:space="preserve"> period, identify how services will be funded for the remainder of the compliance period.  </w:t>
      </w:r>
    </w:p>
    <w:p w:rsidR="005A6F28" w:rsidRPr="00411B94" w:rsidRDefault="005A6F28" w:rsidP="00492DFA">
      <w:pPr>
        <w:pStyle w:val="Header"/>
        <w:numPr>
          <w:ilvl w:val="0"/>
          <w:numId w:val="16"/>
        </w:numPr>
        <w:tabs>
          <w:tab w:val="clear" w:pos="4320"/>
          <w:tab w:val="clear" w:pos="8640"/>
        </w:tabs>
        <w:spacing w:after="120" w:line="240" w:lineRule="auto"/>
        <w:ind w:left="1080"/>
        <w:rPr>
          <w:sz w:val="22"/>
          <w:szCs w:val="22"/>
        </w:rPr>
      </w:pPr>
      <w:r w:rsidRPr="00411B94">
        <w:rPr>
          <w:sz w:val="22"/>
          <w:szCs w:val="22"/>
        </w:rPr>
        <w:t>Utilizes a service provider</w:t>
      </w:r>
      <w:r w:rsidR="00E52845" w:rsidRPr="00411B94">
        <w:rPr>
          <w:sz w:val="22"/>
          <w:szCs w:val="22"/>
        </w:rPr>
        <w:t>/coordinator</w:t>
      </w:r>
      <w:r w:rsidRPr="00411B94">
        <w:rPr>
          <w:sz w:val="22"/>
          <w:szCs w:val="22"/>
        </w:rPr>
        <w:t xml:space="preserve"> with the capacity to </w:t>
      </w:r>
      <w:r w:rsidR="00E52845" w:rsidRPr="00411B94">
        <w:rPr>
          <w:sz w:val="22"/>
          <w:szCs w:val="22"/>
        </w:rPr>
        <w:t xml:space="preserve">implement </w:t>
      </w:r>
      <w:r w:rsidRPr="00411B94">
        <w:rPr>
          <w:sz w:val="22"/>
          <w:szCs w:val="22"/>
        </w:rPr>
        <w:t>described</w:t>
      </w:r>
      <w:r w:rsidR="00E52845" w:rsidRPr="00411B94">
        <w:rPr>
          <w:sz w:val="22"/>
          <w:szCs w:val="22"/>
        </w:rPr>
        <w:t xml:space="preserve"> plan of</w:t>
      </w:r>
      <w:r w:rsidRPr="00411B94">
        <w:rPr>
          <w:sz w:val="22"/>
          <w:szCs w:val="22"/>
        </w:rPr>
        <w:t xml:space="preserve"> services</w:t>
      </w:r>
      <w:r w:rsidR="00E52845" w:rsidRPr="00411B94">
        <w:rPr>
          <w:sz w:val="22"/>
          <w:szCs w:val="22"/>
        </w:rPr>
        <w:t>.</w:t>
      </w:r>
      <w:r w:rsidRPr="00411B94">
        <w:rPr>
          <w:sz w:val="22"/>
          <w:szCs w:val="22"/>
        </w:rPr>
        <w:t xml:space="preserve"> The recommended minimum is </w:t>
      </w:r>
      <w:r w:rsidR="001262F1" w:rsidRPr="00411B94">
        <w:rPr>
          <w:sz w:val="22"/>
          <w:szCs w:val="22"/>
        </w:rPr>
        <w:t>one</w:t>
      </w:r>
      <w:r w:rsidRPr="00411B94">
        <w:rPr>
          <w:sz w:val="22"/>
          <w:szCs w:val="22"/>
        </w:rPr>
        <w:t xml:space="preserve"> hour of on-site </w:t>
      </w:r>
      <w:r w:rsidR="00E52845" w:rsidRPr="00411B94">
        <w:rPr>
          <w:sz w:val="22"/>
          <w:szCs w:val="22"/>
        </w:rPr>
        <w:t xml:space="preserve">dedicated staffing </w:t>
      </w:r>
      <w:r w:rsidRPr="00411B94">
        <w:rPr>
          <w:sz w:val="22"/>
          <w:szCs w:val="22"/>
        </w:rPr>
        <w:t xml:space="preserve">per week for every </w:t>
      </w:r>
      <w:r w:rsidR="001262F1" w:rsidRPr="00411B94">
        <w:rPr>
          <w:sz w:val="22"/>
          <w:szCs w:val="22"/>
        </w:rPr>
        <w:t>five</w:t>
      </w:r>
      <w:r w:rsidRPr="00411B94">
        <w:rPr>
          <w:sz w:val="22"/>
          <w:szCs w:val="22"/>
        </w:rPr>
        <w:t xml:space="preserve"> units.  Services staff should have access to a computer with Internet </w:t>
      </w:r>
      <w:r w:rsidR="00FE49B7" w:rsidRPr="00411B94">
        <w:rPr>
          <w:sz w:val="22"/>
          <w:szCs w:val="22"/>
        </w:rPr>
        <w:t>and email capabilities.  There should be sufficient space to carry out the described services, including adequate office and community space.</w:t>
      </w:r>
    </w:p>
    <w:p w:rsidR="00E52845" w:rsidRPr="00411B94" w:rsidRDefault="00921E9D" w:rsidP="00492DFA">
      <w:pPr>
        <w:pStyle w:val="Header"/>
        <w:tabs>
          <w:tab w:val="clear" w:pos="4320"/>
          <w:tab w:val="clear" w:pos="8640"/>
        </w:tabs>
        <w:spacing w:after="120" w:line="240" w:lineRule="auto"/>
        <w:ind w:left="720"/>
        <w:rPr>
          <w:sz w:val="22"/>
          <w:szCs w:val="22"/>
        </w:rPr>
      </w:pPr>
      <w:r w:rsidRPr="00411B94">
        <w:rPr>
          <w:sz w:val="22"/>
          <w:szCs w:val="22"/>
        </w:rPr>
        <w:t xml:space="preserve">Satisfactory completion of the above three factors are the minimum requirements for 5 points.  </w:t>
      </w:r>
      <w:r w:rsidR="009275D9" w:rsidRPr="00411B94">
        <w:rPr>
          <w:sz w:val="22"/>
          <w:szCs w:val="22"/>
        </w:rPr>
        <w:t>Demonstrated commitment of sufficient funds for at least 15 years</w:t>
      </w:r>
      <w:r w:rsidRPr="00411B94">
        <w:rPr>
          <w:sz w:val="22"/>
          <w:szCs w:val="22"/>
        </w:rPr>
        <w:t xml:space="preserve"> and meeting or exceeding the recommended minimum on-site staffing may result in an additional 5 points.</w:t>
      </w:r>
    </w:p>
    <w:p w:rsidR="00FE49B7" w:rsidRPr="00411B94" w:rsidRDefault="005552EA" w:rsidP="003D3DB5">
      <w:pPr>
        <w:pStyle w:val="Header"/>
        <w:tabs>
          <w:tab w:val="clear" w:pos="4320"/>
          <w:tab w:val="clear" w:pos="8640"/>
        </w:tabs>
        <w:spacing w:after="120" w:line="240" w:lineRule="auto"/>
        <w:ind w:left="720"/>
        <w:rPr>
          <w:sz w:val="22"/>
          <w:szCs w:val="22"/>
        </w:rPr>
      </w:pPr>
      <w:r w:rsidRPr="00411B94">
        <w:rPr>
          <w:sz w:val="22"/>
          <w:szCs w:val="22"/>
        </w:rPr>
        <w:t xml:space="preserve">Confirmation from the service provider regarding the availability of applicable services at initial occupancy of the development will be required prior to issuing the </w:t>
      </w:r>
      <w:smartTag w:uri="urn:schemas-microsoft-com:office:smarttags" w:element="stockticker">
        <w:r w:rsidRPr="00411B94">
          <w:rPr>
            <w:sz w:val="22"/>
            <w:szCs w:val="22"/>
          </w:rPr>
          <w:t>IRS</w:t>
        </w:r>
      </w:smartTag>
      <w:r w:rsidRPr="00411B94">
        <w:rPr>
          <w:sz w:val="22"/>
          <w:szCs w:val="22"/>
        </w:rPr>
        <w:t xml:space="preserve"> Form 8609.  To ensure the continued provision of supportive services, the Restrictive Covenant Agreement will reflect such commitment.  </w:t>
      </w:r>
    </w:p>
    <w:p w:rsidR="000E5527" w:rsidRPr="00411B94" w:rsidRDefault="004B3478" w:rsidP="00C6352F">
      <w:pPr>
        <w:pStyle w:val="Header"/>
        <w:tabs>
          <w:tab w:val="clear" w:pos="4320"/>
          <w:tab w:val="clear" w:pos="8640"/>
        </w:tabs>
        <w:spacing w:after="120" w:line="240" w:lineRule="auto"/>
        <w:ind w:left="720" w:hanging="360"/>
        <w:rPr>
          <w:sz w:val="22"/>
          <w:szCs w:val="22"/>
        </w:rPr>
      </w:pPr>
      <w:r w:rsidRPr="00411B94">
        <w:rPr>
          <w:sz w:val="22"/>
          <w:szCs w:val="22"/>
        </w:rPr>
        <w:t>3</w:t>
      </w:r>
      <w:r w:rsidR="000E5527" w:rsidRPr="00411B94">
        <w:rPr>
          <w:sz w:val="22"/>
          <w:szCs w:val="22"/>
        </w:rPr>
        <w:t>.</w:t>
      </w:r>
      <w:r w:rsidR="000E5527" w:rsidRPr="00411B94">
        <w:rPr>
          <w:sz w:val="22"/>
          <w:szCs w:val="22"/>
        </w:rPr>
        <w:tab/>
      </w:r>
      <w:r w:rsidR="000E5527" w:rsidRPr="00411B94">
        <w:rPr>
          <w:sz w:val="22"/>
          <w:szCs w:val="22"/>
          <w:u w:val="single"/>
        </w:rPr>
        <w:t>Accessible Units</w:t>
      </w:r>
      <w:r w:rsidR="000E5527" w:rsidRPr="00411B94">
        <w:rPr>
          <w:sz w:val="22"/>
          <w:szCs w:val="22"/>
        </w:rPr>
        <w:t xml:space="preserve"> – Consideration may be given to developments where the developer agrees to provide twice as many fully accessible units as are otherwise required (under local, state, or federal mandate, whichever is greater) in the development. All employee units</w:t>
      </w:r>
      <w:r w:rsidR="00A90C8E" w:rsidRPr="00411B94">
        <w:rPr>
          <w:sz w:val="22"/>
          <w:szCs w:val="22"/>
        </w:rPr>
        <w:t xml:space="preserve"> and market rate units</w:t>
      </w:r>
      <w:r w:rsidR="000E5527" w:rsidRPr="00411B94">
        <w:rPr>
          <w:sz w:val="22"/>
          <w:szCs w:val="22"/>
        </w:rPr>
        <w:t xml:space="preserve"> must be included in the total unit count when calculating the required number of accessible units.  The developer must certify that</w:t>
      </w:r>
      <w:r w:rsidR="00681BCA" w:rsidRPr="00411B94">
        <w:rPr>
          <w:sz w:val="22"/>
          <w:szCs w:val="22"/>
        </w:rPr>
        <w:t xml:space="preserve"> these units are accessible and</w:t>
      </w:r>
      <w:r w:rsidR="000E5527" w:rsidRPr="00411B94">
        <w:rPr>
          <w:sz w:val="22"/>
          <w:szCs w:val="22"/>
        </w:rPr>
        <w:t xml:space="preserve"> that</w:t>
      </w:r>
      <w:r w:rsidR="00681BCA" w:rsidRPr="00411B94">
        <w:rPr>
          <w:sz w:val="22"/>
          <w:szCs w:val="22"/>
        </w:rPr>
        <w:t>,</w:t>
      </w:r>
      <w:r w:rsidR="000E5527" w:rsidRPr="00411B94">
        <w:rPr>
          <w:sz w:val="22"/>
          <w:szCs w:val="22"/>
        </w:rPr>
        <w:t xml:space="preserve"> during </w:t>
      </w:r>
      <w:r w:rsidR="009C6FCB" w:rsidRPr="00411B94">
        <w:rPr>
          <w:sz w:val="22"/>
          <w:szCs w:val="22"/>
        </w:rPr>
        <w:t>initial</w:t>
      </w:r>
      <w:r w:rsidR="000E5527" w:rsidRPr="00411B94">
        <w:rPr>
          <w:sz w:val="22"/>
          <w:szCs w:val="22"/>
        </w:rPr>
        <w:t xml:space="preserve"> lease up, the developer will</w:t>
      </w:r>
      <w:r w:rsidR="009C6FCB" w:rsidRPr="00411B94">
        <w:rPr>
          <w:sz w:val="22"/>
          <w:szCs w:val="22"/>
        </w:rPr>
        <w:t xml:space="preserve"> exclusively</w:t>
      </w:r>
      <w:r w:rsidR="000E5527" w:rsidRPr="00411B94">
        <w:rPr>
          <w:sz w:val="22"/>
          <w:szCs w:val="22"/>
        </w:rPr>
        <w:t xml:space="preserve"> </w:t>
      </w:r>
      <w:r w:rsidR="009C6FCB" w:rsidRPr="00411B94">
        <w:rPr>
          <w:sz w:val="22"/>
          <w:szCs w:val="22"/>
        </w:rPr>
        <w:t xml:space="preserve">reserve </w:t>
      </w:r>
      <w:r w:rsidR="000E5527" w:rsidRPr="00411B94">
        <w:rPr>
          <w:sz w:val="22"/>
          <w:szCs w:val="22"/>
        </w:rPr>
        <w:t xml:space="preserve">the units </w:t>
      </w:r>
      <w:r w:rsidR="009C6FCB" w:rsidRPr="00411B94">
        <w:rPr>
          <w:sz w:val="22"/>
          <w:szCs w:val="22"/>
        </w:rPr>
        <w:t>for occupancy by</w:t>
      </w:r>
      <w:r w:rsidR="000E5527" w:rsidRPr="00411B94">
        <w:rPr>
          <w:sz w:val="22"/>
          <w:szCs w:val="22"/>
        </w:rPr>
        <w:t xml:space="preserve"> persons needing the accessible units for the first thirty days</w:t>
      </w:r>
      <w:r w:rsidR="00D23B99" w:rsidRPr="00411B94">
        <w:rPr>
          <w:sz w:val="22"/>
          <w:szCs w:val="22"/>
        </w:rPr>
        <w:t>. T</w:t>
      </w:r>
      <w:r w:rsidR="000E5527" w:rsidRPr="00411B94">
        <w:rPr>
          <w:sz w:val="22"/>
          <w:szCs w:val="22"/>
        </w:rPr>
        <w:t>hereafter</w:t>
      </w:r>
      <w:r w:rsidR="00867579" w:rsidRPr="00411B94">
        <w:rPr>
          <w:sz w:val="22"/>
          <w:szCs w:val="22"/>
        </w:rPr>
        <w:t>,</w:t>
      </w:r>
      <w:r w:rsidR="000E5527" w:rsidRPr="00411B94">
        <w:rPr>
          <w:sz w:val="22"/>
          <w:szCs w:val="22"/>
        </w:rPr>
        <w:t xml:space="preserve"> </w:t>
      </w:r>
      <w:r w:rsidR="00D23B99" w:rsidRPr="00411B94">
        <w:rPr>
          <w:sz w:val="22"/>
          <w:szCs w:val="22"/>
        </w:rPr>
        <w:t>the developer will include</w:t>
      </w:r>
      <w:r w:rsidR="000E5527" w:rsidRPr="00411B94">
        <w:rPr>
          <w:sz w:val="22"/>
          <w:szCs w:val="22"/>
        </w:rPr>
        <w:t xml:space="preserve"> certain provisions </w:t>
      </w:r>
      <w:r w:rsidR="00D23B99" w:rsidRPr="00411B94">
        <w:rPr>
          <w:sz w:val="22"/>
          <w:szCs w:val="22"/>
        </w:rPr>
        <w:t>in the lease</w:t>
      </w:r>
      <w:r w:rsidR="000E5527" w:rsidRPr="00411B94">
        <w:rPr>
          <w:sz w:val="22"/>
          <w:szCs w:val="22"/>
        </w:rPr>
        <w:t xml:space="preserve"> to allow the units to be occupied by persons who need the accessible features of the units</w:t>
      </w:r>
      <w:r w:rsidR="002E5C4B" w:rsidRPr="00411B94">
        <w:rPr>
          <w:sz w:val="22"/>
          <w:szCs w:val="22"/>
        </w:rPr>
        <w:t>,</w:t>
      </w:r>
      <w:r w:rsidR="000E5527" w:rsidRPr="00411B94">
        <w:rPr>
          <w:sz w:val="22"/>
          <w:szCs w:val="22"/>
        </w:rPr>
        <w:t xml:space="preserve"> to the greatest extent feasible.  </w:t>
      </w:r>
      <w:r w:rsidR="0004766F" w:rsidRPr="00411B94">
        <w:rPr>
          <w:sz w:val="22"/>
          <w:szCs w:val="22"/>
        </w:rPr>
        <w:t>Evidence of en</w:t>
      </w:r>
      <w:r w:rsidR="009C6FCB" w:rsidRPr="00411B94">
        <w:rPr>
          <w:sz w:val="22"/>
          <w:szCs w:val="22"/>
        </w:rPr>
        <w:t xml:space="preserve">forcement of the lease provisions </w:t>
      </w:r>
      <w:r w:rsidR="0004766F" w:rsidRPr="00411B94">
        <w:rPr>
          <w:sz w:val="22"/>
          <w:szCs w:val="22"/>
        </w:rPr>
        <w:t>will be required and implementation and adherence to additional outreach programs to identify and match qualified residents who need the accessible features within the development may be required throughout the compliance period</w:t>
      </w:r>
      <w:r w:rsidR="00867579" w:rsidRPr="00411B94">
        <w:rPr>
          <w:sz w:val="22"/>
          <w:szCs w:val="22"/>
        </w:rPr>
        <w:t xml:space="preserve"> </w:t>
      </w:r>
      <w:r w:rsidR="00867579" w:rsidRPr="00411B94">
        <w:rPr>
          <w:sz w:val="22"/>
          <w:szCs w:val="22"/>
          <w:u w:color="FF0000"/>
        </w:rPr>
        <w:t>which may include contacting the Agency prior to renting the unit to persons who do not require the accessible features in accordance with the Agency's Accessible Unit Policy</w:t>
      </w:r>
      <w:r w:rsidR="005552EA" w:rsidRPr="00411B94">
        <w:rPr>
          <w:sz w:val="22"/>
          <w:szCs w:val="22"/>
          <w:u w:color="FF0000"/>
        </w:rPr>
        <w:t>.</w:t>
      </w:r>
      <w:r w:rsidR="009C6FCB" w:rsidRPr="00411B94">
        <w:rPr>
          <w:sz w:val="22"/>
          <w:szCs w:val="22"/>
        </w:rPr>
        <w:t xml:space="preserve"> </w:t>
      </w:r>
    </w:p>
    <w:p w:rsidR="00017402" w:rsidRPr="00411B94" w:rsidRDefault="000E5527" w:rsidP="004810C1">
      <w:pPr>
        <w:pStyle w:val="Header"/>
        <w:tabs>
          <w:tab w:val="clear" w:pos="4320"/>
          <w:tab w:val="clear" w:pos="8640"/>
        </w:tabs>
        <w:spacing w:after="240" w:line="240" w:lineRule="auto"/>
        <w:ind w:left="720"/>
        <w:rPr>
          <w:sz w:val="22"/>
          <w:szCs w:val="22"/>
        </w:rPr>
      </w:pPr>
      <w:r w:rsidRPr="00411B94">
        <w:rPr>
          <w:sz w:val="22"/>
          <w:szCs w:val="22"/>
        </w:rPr>
        <w:t xml:space="preserve">Terms addressing the accessible units and the subsequent rental of these units will be incorporated in the Restrictive Covenant Agreement. In addition, a certification from the design architect verifying the inclusion of the accessible units in the development will be required at the time of application. Confirmation from the construction contract administration architect will be required with the submission of the cost certification documents.  </w:t>
      </w:r>
      <w:r w:rsidR="00EB3A38" w:rsidRPr="00411B94">
        <w:rPr>
          <w:sz w:val="22"/>
          <w:szCs w:val="22"/>
        </w:rPr>
        <w:t xml:space="preserve">For preservation developments, consideration will be given for points under this category if the development increases the number of </w:t>
      </w:r>
      <w:r w:rsidR="00F565CF" w:rsidRPr="00411B94">
        <w:rPr>
          <w:sz w:val="22"/>
          <w:szCs w:val="22"/>
        </w:rPr>
        <w:t xml:space="preserve">fully </w:t>
      </w:r>
      <w:r w:rsidR="00EB3A38" w:rsidRPr="00411B94">
        <w:rPr>
          <w:sz w:val="22"/>
          <w:szCs w:val="22"/>
        </w:rPr>
        <w:t>accessible units</w:t>
      </w:r>
      <w:r w:rsidR="00F565CF" w:rsidRPr="00411B94">
        <w:rPr>
          <w:sz w:val="22"/>
          <w:szCs w:val="22"/>
        </w:rPr>
        <w:t xml:space="preserve"> which meet current standards</w:t>
      </w:r>
      <w:r w:rsidR="00EB3A38" w:rsidRPr="00411B94">
        <w:rPr>
          <w:sz w:val="22"/>
          <w:szCs w:val="22"/>
        </w:rPr>
        <w:t xml:space="preserve"> in the development by at least 5 percent of the total units available.  </w:t>
      </w:r>
      <w:r w:rsidR="00A03F56" w:rsidRPr="00411B94">
        <w:rPr>
          <w:sz w:val="22"/>
          <w:szCs w:val="22"/>
        </w:rPr>
        <w:t>If a</w:t>
      </w:r>
      <w:r w:rsidR="00AC1762" w:rsidRPr="00411B94">
        <w:rPr>
          <w:sz w:val="22"/>
          <w:szCs w:val="22"/>
        </w:rPr>
        <w:t xml:space="preserve">n existing development already has twice the federal minimum number of accessible units that meet current accessibility standards, they will </w:t>
      </w:r>
      <w:r w:rsidR="00EF3D42" w:rsidRPr="00411B94">
        <w:rPr>
          <w:sz w:val="22"/>
          <w:szCs w:val="22"/>
        </w:rPr>
        <w:t>be eligible to</w:t>
      </w:r>
      <w:r w:rsidR="0062264F" w:rsidRPr="00411B94">
        <w:rPr>
          <w:sz w:val="22"/>
          <w:szCs w:val="22"/>
        </w:rPr>
        <w:t xml:space="preserve"> receive</w:t>
      </w:r>
      <w:r w:rsidR="00A03F56" w:rsidRPr="00411B94">
        <w:rPr>
          <w:sz w:val="22"/>
          <w:szCs w:val="22"/>
        </w:rPr>
        <w:t xml:space="preserve"> points in this category.</w:t>
      </w:r>
      <w:r w:rsidR="00AC1762" w:rsidRPr="00411B94">
        <w:rPr>
          <w:sz w:val="22"/>
          <w:szCs w:val="22"/>
        </w:rPr>
        <w:t xml:space="preserve"> </w:t>
      </w:r>
      <w:r w:rsidR="00A03F56" w:rsidRPr="00411B94">
        <w:rPr>
          <w:sz w:val="22"/>
          <w:szCs w:val="22"/>
        </w:rPr>
        <w:t xml:space="preserve"> </w:t>
      </w:r>
      <w:r w:rsidR="00EB3A38" w:rsidRPr="00411B94">
        <w:rPr>
          <w:sz w:val="22"/>
          <w:szCs w:val="22"/>
        </w:rPr>
        <w:t>(All other requirements applicable to rental and long term occupancy of these units are the same.)  (</w:t>
      </w:r>
      <w:r w:rsidR="00D2410C">
        <w:rPr>
          <w:sz w:val="22"/>
          <w:szCs w:val="22"/>
        </w:rPr>
        <w:t>T</w:t>
      </w:r>
      <w:r w:rsidR="00964B76">
        <w:rPr>
          <w:sz w:val="22"/>
          <w:szCs w:val="22"/>
        </w:rPr>
        <w:t>en (</w:t>
      </w:r>
      <w:r w:rsidR="00EB3A38" w:rsidRPr="00411B94">
        <w:rPr>
          <w:sz w:val="22"/>
          <w:szCs w:val="22"/>
        </w:rPr>
        <w:t>10</w:t>
      </w:r>
      <w:r w:rsidR="00964B76">
        <w:rPr>
          <w:sz w:val="22"/>
          <w:szCs w:val="22"/>
        </w:rPr>
        <w:t>)</w:t>
      </w:r>
      <w:r w:rsidR="00EB3A38" w:rsidRPr="00411B94">
        <w:rPr>
          <w:sz w:val="22"/>
          <w:szCs w:val="22"/>
        </w:rPr>
        <w:t xml:space="preserve"> points)</w:t>
      </w:r>
    </w:p>
    <w:p w:rsidR="00491A05" w:rsidRPr="00411B94" w:rsidRDefault="000E5527" w:rsidP="00BD4264">
      <w:pPr>
        <w:pStyle w:val="Header"/>
        <w:numPr>
          <w:ilvl w:val="0"/>
          <w:numId w:val="52"/>
        </w:numPr>
        <w:tabs>
          <w:tab w:val="clear" w:pos="4320"/>
          <w:tab w:val="clear" w:pos="8640"/>
        </w:tabs>
        <w:spacing w:after="120" w:line="240" w:lineRule="auto"/>
        <w:rPr>
          <w:sz w:val="22"/>
          <w:szCs w:val="22"/>
        </w:rPr>
      </w:pPr>
      <w:r w:rsidRPr="00411B94">
        <w:rPr>
          <w:sz w:val="22"/>
          <w:szCs w:val="22"/>
          <w:u w:val="single"/>
        </w:rPr>
        <w:t>Large Families</w:t>
      </w:r>
      <w:r w:rsidRPr="00411B94">
        <w:rPr>
          <w:sz w:val="22"/>
          <w:szCs w:val="22"/>
        </w:rPr>
        <w:t xml:space="preserve"> – Up to </w:t>
      </w:r>
      <w:r w:rsidR="000A5987">
        <w:rPr>
          <w:sz w:val="22"/>
          <w:szCs w:val="22"/>
        </w:rPr>
        <w:t>ten (</w:t>
      </w:r>
      <w:r w:rsidR="00A4724F" w:rsidRPr="00411B94">
        <w:rPr>
          <w:sz w:val="22"/>
          <w:szCs w:val="22"/>
        </w:rPr>
        <w:t>10</w:t>
      </w:r>
      <w:r w:rsidR="000A5987">
        <w:rPr>
          <w:sz w:val="22"/>
          <w:szCs w:val="22"/>
        </w:rPr>
        <w:t>)</w:t>
      </w:r>
      <w:r w:rsidR="00016601" w:rsidRPr="00411B94">
        <w:rPr>
          <w:sz w:val="22"/>
          <w:szCs w:val="22"/>
        </w:rPr>
        <w:t xml:space="preserve"> </w:t>
      </w:r>
      <w:r w:rsidRPr="00411B94">
        <w:rPr>
          <w:sz w:val="22"/>
          <w:szCs w:val="22"/>
        </w:rPr>
        <w:t xml:space="preserve">points may be awarded for those developments providing units with three or more bedrooms for large families. High rise developments </w:t>
      </w:r>
      <w:r w:rsidR="00F20829" w:rsidRPr="00411B94">
        <w:rPr>
          <w:sz w:val="22"/>
          <w:szCs w:val="22"/>
        </w:rPr>
        <w:t xml:space="preserve">and senior housing </w:t>
      </w:r>
      <w:r w:rsidRPr="00411B94">
        <w:rPr>
          <w:sz w:val="22"/>
          <w:szCs w:val="22"/>
        </w:rPr>
        <w:t>cannot qualify for this category.  Points will be considered for developments that include the following percentages of units with three or more bedrooms:</w:t>
      </w:r>
    </w:p>
    <w:p w:rsidR="00491A05" w:rsidRDefault="00491A05" w:rsidP="00E32142">
      <w:pPr>
        <w:pStyle w:val="Header"/>
        <w:tabs>
          <w:tab w:val="clear" w:pos="4320"/>
          <w:tab w:val="clear" w:pos="8640"/>
        </w:tabs>
        <w:spacing w:line="240" w:lineRule="auto"/>
        <w:rPr>
          <w:sz w:val="22"/>
          <w:szCs w:val="22"/>
        </w:rPr>
      </w:pPr>
    </w:p>
    <w:p w:rsidR="00823000" w:rsidRPr="00411B94" w:rsidRDefault="00823000" w:rsidP="00E32142">
      <w:pPr>
        <w:pStyle w:val="Header"/>
        <w:tabs>
          <w:tab w:val="clear" w:pos="4320"/>
          <w:tab w:val="clear" w:pos="8640"/>
        </w:tabs>
        <w:spacing w:line="240" w:lineRule="auto"/>
        <w:rPr>
          <w:sz w:val="22"/>
          <w:szCs w:val="22"/>
        </w:rPr>
      </w:pPr>
    </w:p>
    <w:p w:rsidR="00F535D3" w:rsidRDefault="00F535D3" w:rsidP="00DE4B13">
      <w:pPr>
        <w:pStyle w:val="Header"/>
        <w:tabs>
          <w:tab w:val="clear" w:pos="4320"/>
          <w:tab w:val="clear" w:pos="8640"/>
        </w:tabs>
        <w:spacing w:after="120" w:line="240" w:lineRule="auto"/>
        <w:ind w:left="1800" w:firstLine="360"/>
        <w:rPr>
          <w:b/>
          <w:sz w:val="22"/>
          <w:szCs w:val="22"/>
          <w:u w:val="single"/>
        </w:rPr>
      </w:pPr>
    </w:p>
    <w:p w:rsidR="00491A05" w:rsidRPr="00074428" w:rsidRDefault="009623C5" w:rsidP="00DE4B13">
      <w:pPr>
        <w:pStyle w:val="Header"/>
        <w:tabs>
          <w:tab w:val="clear" w:pos="4320"/>
          <w:tab w:val="clear" w:pos="8640"/>
        </w:tabs>
        <w:spacing w:after="120" w:line="240" w:lineRule="auto"/>
        <w:ind w:left="1800" w:firstLine="360"/>
        <w:rPr>
          <w:b/>
          <w:sz w:val="22"/>
          <w:szCs w:val="22"/>
          <w:u w:val="single"/>
        </w:rPr>
      </w:pPr>
      <w:r w:rsidRPr="00074428">
        <w:rPr>
          <w:b/>
          <w:sz w:val="22"/>
          <w:szCs w:val="22"/>
          <w:u w:val="single"/>
        </w:rPr>
        <w:t>Urban</w:t>
      </w:r>
      <w:r w:rsidRPr="00FD20B5">
        <w:rPr>
          <w:b/>
          <w:sz w:val="22"/>
          <w:szCs w:val="22"/>
        </w:rPr>
        <w:tab/>
      </w:r>
      <w:r w:rsidR="008438DC" w:rsidRPr="00FD20B5">
        <w:rPr>
          <w:sz w:val="22"/>
          <w:szCs w:val="22"/>
        </w:rPr>
        <w:t xml:space="preserve">   </w:t>
      </w:r>
      <w:r w:rsidRPr="00FD20B5">
        <w:rPr>
          <w:sz w:val="22"/>
          <w:szCs w:val="22"/>
        </w:rPr>
        <w:tab/>
      </w:r>
      <w:r w:rsidRPr="00FD20B5">
        <w:rPr>
          <w:sz w:val="22"/>
          <w:szCs w:val="22"/>
        </w:rPr>
        <w:tab/>
      </w:r>
      <w:r w:rsidRPr="00FD20B5">
        <w:rPr>
          <w:sz w:val="22"/>
          <w:szCs w:val="22"/>
        </w:rPr>
        <w:tab/>
      </w:r>
      <w:r w:rsidRPr="00FD20B5">
        <w:rPr>
          <w:sz w:val="22"/>
          <w:szCs w:val="22"/>
        </w:rPr>
        <w:tab/>
      </w:r>
      <w:r w:rsidRPr="00FD20B5">
        <w:rPr>
          <w:sz w:val="22"/>
          <w:szCs w:val="22"/>
        </w:rPr>
        <w:tab/>
      </w:r>
      <w:r w:rsidRPr="00FD20B5">
        <w:rPr>
          <w:b/>
          <w:sz w:val="22"/>
          <w:szCs w:val="22"/>
        </w:rPr>
        <w:t xml:space="preserve">    </w:t>
      </w:r>
      <w:r w:rsidR="00ED5005" w:rsidRPr="00FD20B5">
        <w:rPr>
          <w:b/>
          <w:sz w:val="22"/>
          <w:szCs w:val="22"/>
        </w:rPr>
        <w:t xml:space="preserve">          </w:t>
      </w:r>
      <w:r w:rsidRPr="00074428">
        <w:rPr>
          <w:b/>
          <w:sz w:val="22"/>
          <w:szCs w:val="22"/>
          <w:u w:val="single"/>
        </w:rPr>
        <w:t>Suburban/Rural</w:t>
      </w:r>
    </w:p>
    <w:tbl>
      <w:tblPr>
        <w:tblW w:w="0" w:type="auto"/>
        <w:jc w:val="center"/>
        <w:tblLayout w:type="fixed"/>
        <w:tblLook w:val="0000" w:firstRow="0" w:lastRow="0" w:firstColumn="0" w:lastColumn="0" w:noHBand="0" w:noVBand="0"/>
      </w:tblPr>
      <w:tblGrid>
        <w:gridCol w:w="1532"/>
        <w:gridCol w:w="360"/>
        <w:gridCol w:w="1620"/>
        <w:gridCol w:w="1620"/>
        <w:gridCol w:w="1620"/>
      </w:tblGrid>
      <w:tr w:rsidR="00C01FD5" w:rsidRPr="00411B94" w:rsidTr="00C01FD5">
        <w:trPr>
          <w:jc w:val="center"/>
        </w:trPr>
        <w:tc>
          <w:tcPr>
            <w:tcW w:w="1532" w:type="dxa"/>
          </w:tcPr>
          <w:p w:rsidR="00491A05" w:rsidRPr="00411B94" w:rsidRDefault="009623C5">
            <w:pPr>
              <w:pStyle w:val="Header"/>
              <w:tabs>
                <w:tab w:val="clear" w:pos="4320"/>
                <w:tab w:val="clear" w:pos="8640"/>
              </w:tabs>
              <w:spacing w:line="240" w:lineRule="auto"/>
              <w:ind w:left="28"/>
              <w:jc w:val="center"/>
              <w:rPr>
                <w:b/>
                <w:sz w:val="22"/>
                <w:szCs w:val="22"/>
                <w:u w:val="single"/>
              </w:rPr>
            </w:pPr>
            <w:r w:rsidRPr="00411B94">
              <w:rPr>
                <w:b/>
                <w:sz w:val="22"/>
                <w:szCs w:val="22"/>
                <w:u w:val="single"/>
              </w:rPr>
              <w:t>Percentage</w:t>
            </w:r>
          </w:p>
        </w:tc>
        <w:tc>
          <w:tcPr>
            <w:tcW w:w="360" w:type="dxa"/>
          </w:tcPr>
          <w:p w:rsidR="00C01FD5" w:rsidRPr="00411B94" w:rsidRDefault="00C01FD5" w:rsidP="00E94493">
            <w:pPr>
              <w:pStyle w:val="Header"/>
              <w:tabs>
                <w:tab w:val="clear" w:pos="4320"/>
                <w:tab w:val="clear" w:pos="8640"/>
              </w:tabs>
              <w:spacing w:line="240" w:lineRule="auto"/>
              <w:jc w:val="center"/>
              <w:rPr>
                <w:b/>
                <w:sz w:val="22"/>
                <w:szCs w:val="22"/>
                <w:u w:val="single"/>
              </w:rPr>
            </w:pPr>
          </w:p>
        </w:tc>
        <w:tc>
          <w:tcPr>
            <w:tcW w:w="1620" w:type="dxa"/>
          </w:tcPr>
          <w:p w:rsidR="00C01FD5" w:rsidRPr="00411B94" w:rsidRDefault="009623C5" w:rsidP="00E94493">
            <w:pPr>
              <w:pStyle w:val="Header"/>
              <w:tabs>
                <w:tab w:val="clear" w:pos="4320"/>
                <w:tab w:val="clear" w:pos="8640"/>
              </w:tabs>
              <w:spacing w:line="240" w:lineRule="auto"/>
              <w:jc w:val="center"/>
              <w:rPr>
                <w:b/>
                <w:sz w:val="22"/>
                <w:szCs w:val="22"/>
                <w:u w:val="single"/>
              </w:rPr>
            </w:pPr>
            <w:r w:rsidRPr="00411B94">
              <w:rPr>
                <w:b/>
                <w:sz w:val="22"/>
                <w:szCs w:val="22"/>
                <w:u w:val="single"/>
              </w:rPr>
              <w:t>Points</w:t>
            </w:r>
          </w:p>
        </w:tc>
        <w:tc>
          <w:tcPr>
            <w:tcW w:w="1620" w:type="dxa"/>
          </w:tcPr>
          <w:p w:rsidR="00C01FD5" w:rsidRPr="00411B94" w:rsidRDefault="009623C5" w:rsidP="00E94493">
            <w:pPr>
              <w:pStyle w:val="Header"/>
              <w:tabs>
                <w:tab w:val="clear" w:pos="4320"/>
                <w:tab w:val="clear" w:pos="8640"/>
              </w:tabs>
              <w:spacing w:line="240" w:lineRule="auto"/>
              <w:jc w:val="center"/>
              <w:rPr>
                <w:b/>
                <w:sz w:val="22"/>
                <w:szCs w:val="22"/>
                <w:u w:val="single"/>
              </w:rPr>
            </w:pPr>
            <w:r w:rsidRPr="00411B94">
              <w:rPr>
                <w:b/>
                <w:sz w:val="22"/>
                <w:szCs w:val="22"/>
                <w:u w:val="single"/>
              </w:rPr>
              <w:t>Percentage</w:t>
            </w:r>
          </w:p>
        </w:tc>
        <w:tc>
          <w:tcPr>
            <w:tcW w:w="1620" w:type="dxa"/>
          </w:tcPr>
          <w:p w:rsidR="00C01FD5" w:rsidRPr="00411B94" w:rsidRDefault="009623C5" w:rsidP="00E94493">
            <w:pPr>
              <w:pStyle w:val="Header"/>
              <w:tabs>
                <w:tab w:val="clear" w:pos="4320"/>
                <w:tab w:val="clear" w:pos="8640"/>
              </w:tabs>
              <w:spacing w:line="240" w:lineRule="auto"/>
              <w:jc w:val="center"/>
              <w:rPr>
                <w:b/>
                <w:sz w:val="22"/>
                <w:szCs w:val="22"/>
                <w:u w:val="single"/>
              </w:rPr>
            </w:pPr>
            <w:r w:rsidRPr="00411B94">
              <w:rPr>
                <w:b/>
                <w:sz w:val="22"/>
                <w:szCs w:val="22"/>
                <w:u w:val="single"/>
              </w:rPr>
              <w:t>Points</w:t>
            </w:r>
          </w:p>
        </w:tc>
      </w:tr>
      <w:tr w:rsidR="00C01FD5" w:rsidRPr="00411B94" w:rsidTr="00C01FD5">
        <w:trPr>
          <w:jc w:val="center"/>
        </w:trPr>
        <w:tc>
          <w:tcPr>
            <w:tcW w:w="1532"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&gt;15-20%</w:t>
            </w:r>
          </w:p>
        </w:tc>
        <w:tc>
          <w:tcPr>
            <w:tcW w:w="360" w:type="dxa"/>
          </w:tcPr>
          <w:p w:rsidR="00C01FD5" w:rsidRPr="00411B94" w:rsidRDefault="00C01FD5" w:rsidP="00E94493">
            <w:pPr>
              <w:pStyle w:val="Header"/>
              <w:tabs>
                <w:tab w:val="clear" w:pos="4320"/>
                <w:tab w:val="clear" w:pos="8640"/>
              </w:tabs>
              <w:spacing w:line="240" w:lineRule="auto"/>
              <w:jc w:val="center"/>
              <w:rPr>
                <w:sz w:val="22"/>
                <w:szCs w:val="22"/>
              </w:rPr>
            </w:pP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 xml:space="preserve"> 6</w:t>
            </w: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&gt;10-15</w:t>
            </w:r>
            <w:r w:rsidR="00AB315B" w:rsidRPr="00411B94">
              <w:rPr>
                <w:sz w:val="22"/>
                <w:szCs w:val="22"/>
              </w:rPr>
              <w:t>%</w:t>
            </w: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6</w:t>
            </w:r>
          </w:p>
        </w:tc>
      </w:tr>
      <w:tr w:rsidR="00C01FD5" w:rsidRPr="00411B94" w:rsidTr="00491A05">
        <w:trPr>
          <w:jc w:val="center"/>
        </w:trPr>
        <w:tc>
          <w:tcPr>
            <w:tcW w:w="1532"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&gt;20-25%</w:t>
            </w:r>
          </w:p>
        </w:tc>
        <w:tc>
          <w:tcPr>
            <w:tcW w:w="360" w:type="dxa"/>
          </w:tcPr>
          <w:p w:rsidR="00C01FD5" w:rsidRPr="00411B94" w:rsidRDefault="00C01FD5" w:rsidP="00E94493">
            <w:pPr>
              <w:pStyle w:val="Header"/>
              <w:tabs>
                <w:tab w:val="clear" w:pos="4320"/>
                <w:tab w:val="clear" w:pos="8640"/>
              </w:tabs>
              <w:spacing w:line="240" w:lineRule="auto"/>
              <w:jc w:val="center"/>
              <w:rPr>
                <w:sz w:val="22"/>
                <w:szCs w:val="22"/>
              </w:rPr>
            </w:pP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 xml:space="preserve">8 </w:t>
            </w: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&gt;15-20</w:t>
            </w:r>
            <w:r w:rsidR="00AB315B" w:rsidRPr="00411B94">
              <w:rPr>
                <w:sz w:val="22"/>
                <w:szCs w:val="22"/>
              </w:rPr>
              <w:t>%</w:t>
            </w: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8</w:t>
            </w:r>
          </w:p>
        </w:tc>
      </w:tr>
      <w:tr w:rsidR="00C01FD5" w:rsidRPr="00411B94" w:rsidTr="00491A05">
        <w:trPr>
          <w:jc w:val="center"/>
        </w:trPr>
        <w:tc>
          <w:tcPr>
            <w:tcW w:w="1532"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&gt;25%</w:t>
            </w:r>
          </w:p>
        </w:tc>
        <w:tc>
          <w:tcPr>
            <w:tcW w:w="360" w:type="dxa"/>
          </w:tcPr>
          <w:p w:rsidR="00C01FD5" w:rsidRPr="00411B94" w:rsidRDefault="00C01FD5" w:rsidP="00E94493">
            <w:pPr>
              <w:pStyle w:val="Header"/>
              <w:tabs>
                <w:tab w:val="clear" w:pos="4320"/>
                <w:tab w:val="clear" w:pos="8640"/>
              </w:tabs>
              <w:spacing w:line="240" w:lineRule="auto"/>
              <w:jc w:val="center"/>
              <w:rPr>
                <w:sz w:val="22"/>
                <w:szCs w:val="22"/>
              </w:rPr>
            </w:pP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 xml:space="preserve">10  </w:t>
            </w: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&gt;20</w:t>
            </w:r>
            <w:r w:rsidR="00AB315B" w:rsidRPr="00411B94">
              <w:rPr>
                <w:sz w:val="22"/>
                <w:szCs w:val="22"/>
              </w:rPr>
              <w:t>%</w:t>
            </w:r>
          </w:p>
        </w:tc>
        <w:tc>
          <w:tcPr>
            <w:tcW w:w="1620" w:type="dxa"/>
          </w:tcPr>
          <w:p w:rsidR="00C01FD5"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10</w:t>
            </w:r>
          </w:p>
        </w:tc>
      </w:tr>
    </w:tbl>
    <w:p w:rsidR="000E5527" w:rsidRPr="00411B94" w:rsidRDefault="000E5527" w:rsidP="00E94493">
      <w:pPr>
        <w:pStyle w:val="Header"/>
        <w:tabs>
          <w:tab w:val="clear" w:pos="4320"/>
          <w:tab w:val="clear" w:pos="8640"/>
        </w:tabs>
        <w:spacing w:line="240" w:lineRule="auto"/>
        <w:ind w:left="720"/>
        <w:rPr>
          <w:sz w:val="20"/>
        </w:rPr>
      </w:pPr>
    </w:p>
    <w:p w:rsidR="000E5527" w:rsidRPr="00411B94" w:rsidRDefault="000E5527" w:rsidP="003D3DB5">
      <w:pPr>
        <w:pStyle w:val="Header"/>
        <w:tabs>
          <w:tab w:val="clear" w:pos="4320"/>
          <w:tab w:val="clear" w:pos="8640"/>
        </w:tabs>
        <w:spacing w:after="240" w:line="240" w:lineRule="auto"/>
        <w:ind w:left="720"/>
        <w:rPr>
          <w:sz w:val="22"/>
          <w:szCs w:val="22"/>
        </w:rPr>
      </w:pPr>
      <w:r w:rsidRPr="00411B94">
        <w:rPr>
          <w:sz w:val="22"/>
          <w:szCs w:val="22"/>
        </w:rPr>
        <w:t xml:space="preserve">A certification from the design architect verifying the number of large family units in the development will be required at the time of application. Confirmation from the construction contract administration architect will be required with the submission of the cost certification documents.  For developments not requiring the services of an architect, the certifications may be provided by the general contractor.  </w:t>
      </w:r>
    </w:p>
    <w:tbl>
      <w:tblPr>
        <w:tblW w:w="0" w:type="auto"/>
        <w:tblBorders>
          <w:insideH w:val="single" w:sz="4" w:space="0" w:color="auto"/>
        </w:tblBorders>
        <w:tblLayout w:type="fixed"/>
        <w:tblLook w:val="0000" w:firstRow="0" w:lastRow="0" w:firstColumn="0" w:lastColumn="0" w:noHBand="0" w:noVBand="0"/>
      </w:tblPr>
      <w:tblGrid>
        <w:gridCol w:w="6588"/>
        <w:gridCol w:w="2268"/>
      </w:tblGrid>
      <w:tr w:rsidR="000E5527" w:rsidRPr="00411B94">
        <w:tc>
          <w:tcPr>
            <w:tcW w:w="6588" w:type="dxa"/>
          </w:tcPr>
          <w:p w:rsidR="000E5527" w:rsidRPr="00411B94" w:rsidRDefault="00017402" w:rsidP="00823000">
            <w:pPr>
              <w:pStyle w:val="Header"/>
              <w:tabs>
                <w:tab w:val="clear" w:pos="4320"/>
                <w:tab w:val="clear" w:pos="8640"/>
              </w:tabs>
              <w:spacing w:after="240" w:line="240" w:lineRule="auto"/>
              <w:rPr>
                <w:b/>
                <w:sz w:val="22"/>
                <w:szCs w:val="22"/>
              </w:rPr>
            </w:pPr>
            <w:r w:rsidRPr="00411B94">
              <w:rPr>
                <w:sz w:val="22"/>
                <w:szCs w:val="22"/>
              </w:rPr>
              <w:br w:type="page"/>
            </w:r>
            <w:r w:rsidRPr="00411B94">
              <w:rPr>
                <w:sz w:val="22"/>
                <w:szCs w:val="22"/>
              </w:rPr>
              <w:br w:type="page"/>
            </w:r>
            <w:r w:rsidRPr="00411B94">
              <w:rPr>
                <w:sz w:val="22"/>
                <w:szCs w:val="22"/>
              </w:rPr>
              <w:br w:type="page"/>
            </w:r>
            <w:r w:rsidR="000E5527" w:rsidRPr="00411B94">
              <w:rPr>
                <w:sz w:val="22"/>
                <w:szCs w:val="22"/>
              </w:rPr>
              <w:br w:type="page"/>
            </w:r>
            <w:r w:rsidR="001E4B16" w:rsidRPr="00411B94">
              <w:rPr>
                <w:b/>
                <w:sz w:val="22"/>
                <w:szCs w:val="22"/>
              </w:rPr>
              <w:t>D.</w:t>
            </w:r>
            <w:r w:rsidR="000E5527" w:rsidRPr="00411B94">
              <w:rPr>
                <w:b/>
                <w:sz w:val="22"/>
                <w:szCs w:val="22"/>
              </w:rPr>
              <w:t xml:space="preserve">  Development  Process</w:t>
            </w:r>
          </w:p>
        </w:tc>
        <w:tc>
          <w:tcPr>
            <w:tcW w:w="2268" w:type="dxa"/>
          </w:tcPr>
          <w:p w:rsidR="000E5527" w:rsidRPr="00411B94" w:rsidRDefault="00534EDE" w:rsidP="00E94493">
            <w:pPr>
              <w:pStyle w:val="Header"/>
              <w:tabs>
                <w:tab w:val="clear" w:pos="4320"/>
                <w:tab w:val="clear" w:pos="8640"/>
              </w:tabs>
              <w:spacing w:after="240" w:line="240" w:lineRule="auto"/>
              <w:jc w:val="right"/>
              <w:rPr>
                <w:i/>
                <w:sz w:val="22"/>
                <w:szCs w:val="22"/>
              </w:rPr>
            </w:pPr>
            <w:r>
              <w:rPr>
                <w:i/>
                <w:color w:val="FF0000"/>
                <w:sz w:val="22"/>
                <w:szCs w:val="22"/>
              </w:rPr>
              <w:t>30</w:t>
            </w:r>
            <w:r w:rsidR="00BB3CD8">
              <w:rPr>
                <w:i/>
                <w:sz w:val="22"/>
                <w:szCs w:val="22"/>
              </w:rPr>
              <w:t xml:space="preserve"> </w:t>
            </w:r>
            <w:r w:rsidR="00BB3CD8" w:rsidRPr="00411B94">
              <w:rPr>
                <w:i/>
                <w:sz w:val="22"/>
                <w:szCs w:val="22"/>
              </w:rPr>
              <w:t xml:space="preserve"> </w:t>
            </w:r>
            <w:r w:rsidR="00E62882" w:rsidRPr="00411B94">
              <w:rPr>
                <w:i/>
                <w:sz w:val="22"/>
                <w:szCs w:val="22"/>
              </w:rPr>
              <w:t>points</w:t>
            </w:r>
          </w:p>
        </w:tc>
      </w:tr>
    </w:tbl>
    <w:p w:rsidR="000E5527" w:rsidRDefault="000E5527" w:rsidP="004B4514">
      <w:pPr>
        <w:pStyle w:val="Header"/>
        <w:numPr>
          <w:ilvl w:val="0"/>
          <w:numId w:val="45"/>
        </w:numPr>
        <w:tabs>
          <w:tab w:val="clear" w:pos="4320"/>
          <w:tab w:val="clear" w:pos="8640"/>
        </w:tabs>
        <w:spacing w:line="240" w:lineRule="auto"/>
        <w:rPr>
          <w:sz w:val="22"/>
          <w:szCs w:val="22"/>
        </w:rPr>
      </w:pPr>
      <w:r w:rsidRPr="00411B94">
        <w:rPr>
          <w:sz w:val="22"/>
          <w:szCs w:val="22"/>
          <w:u w:val="single"/>
        </w:rPr>
        <w:t>Noncompliance</w:t>
      </w:r>
      <w:r w:rsidRPr="00411B94">
        <w:rPr>
          <w:sz w:val="22"/>
          <w:szCs w:val="22"/>
        </w:rPr>
        <w:t xml:space="preserve"> – The Agency may deduct up to </w:t>
      </w:r>
      <w:r w:rsidR="000A5987">
        <w:rPr>
          <w:sz w:val="22"/>
          <w:szCs w:val="22"/>
        </w:rPr>
        <w:t>ten (</w:t>
      </w:r>
      <w:r w:rsidR="003B1942" w:rsidRPr="00411B94">
        <w:rPr>
          <w:sz w:val="22"/>
          <w:szCs w:val="22"/>
        </w:rPr>
        <w:t>10</w:t>
      </w:r>
      <w:r w:rsidR="000A5987">
        <w:rPr>
          <w:sz w:val="22"/>
          <w:szCs w:val="22"/>
        </w:rPr>
        <w:t>)</w:t>
      </w:r>
      <w:r w:rsidR="00AB5985" w:rsidRPr="00411B94">
        <w:rPr>
          <w:sz w:val="22"/>
          <w:szCs w:val="22"/>
        </w:rPr>
        <w:t xml:space="preserve"> </w:t>
      </w:r>
      <w:r w:rsidRPr="00411B94">
        <w:rPr>
          <w:sz w:val="22"/>
          <w:szCs w:val="22"/>
        </w:rPr>
        <w:t xml:space="preserve">points from the score for proposals involving either an </w:t>
      </w:r>
      <w:r w:rsidR="002D1116" w:rsidRPr="00411B94">
        <w:rPr>
          <w:sz w:val="22"/>
          <w:szCs w:val="22"/>
        </w:rPr>
        <w:t>Applicant</w:t>
      </w:r>
      <w:r w:rsidRPr="00411B94">
        <w:rPr>
          <w:sz w:val="22"/>
          <w:szCs w:val="22"/>
        </w:rPr>
        <w:t xml:space="preserve"> (or any related entity)</w:t>
      </w:r>
      <w:r w:rsidR="006E3E15" w:rsidRPr="00411B94">
        <w:rPr>
          <w:sz w:val="22"/>
          <w:szCs w:val="22"/>
        </w:rPr>
        <w:t xml:space="preserve"> </w:t>
      </w:r>
      <w:r w:rsidRPr="00411B94">
        <w:rPr>
          <w:sz w:val="22"/>
          <w:szCs w:val="22"/>
        </w:rPr>
        <w:t xml:space="preserve">that owns a managing or controlling interest in a Pennsylvania Tax Credit development or a management agent of such development who has unresolved </w:t>
      </w:r>
      <w:smartTag w:uri="urn:schemas-microsoft-com:office:smarttags" w:element="stockticker">
        <w:r w:rsidRPr="00411B94">
          <w:rPr>
            <w:sz w:val="22"/>
            <w:szCs w:val="22"/>
          </w:rPr>
          <w:t>IRS</w:t>
        </w:r>
      </w:smartTag>
      <w:r w:rsidRPr="00411B94">
        <w:rPr>
          <w:sz w:val="22"/>
          <w:szCs w:val="22"/>
        </w:rPr>
        <w:t xml:space="preserve"> Form 8823 noncompliance issues, has not met the requirements of the Restrictive Covenant Agreement</w:t>
      </w:r>
      <w:r w:rsidR="00BA2355" w:rsidRPr="00411B94">
        <w:rPr>
          <w:sz w:val="22"/>
          <w:szCs w:val="22"/>
        </w:rPr>
        <w:t>, has failed to submit a timely Placed-in-Service/Cost Certification package which resulted in a loss of Tax Credit</w:t>
      </w:r>
      <w:r w:rsidR="0018519A" w:rsidRPr="00411B94">
        <w:rPr>
          <w:sz w:val="22"/>
          <w:szCs w:val="22"/>
        </w:rPr>
        <w:t>s</w:t>
      </w:r>
      <w:r w:rsidR="00BA2355" w:rsidRPr="00411B94">
        <w:rPr>
          <w:sz w:val="22"/>
          <w:szCs w:val="22"/>
        </w:rPr>
        <w:t xml:space="preserve"> to the Agency, </w:t>
      </w:r>
      <w:r w:rsidRPr="00411B94">
        <w:rPr>
          <w:sz w:val="22"/>
          <w:szCs w:val="22"/>
        </w:rPr>
        <w:t xml:space="preserve"> or failed to meet the selection criteria for which an allocation of Tax Credits was made.</w:t>
      </w:r>
    </w:p>
    <w:p w:rsidR="00083059" w:rsidRDefault="00083059" w:rsidP="00083059">
      <w:pPr>
        <w:pStyle w:val="Header"/>
        <w:tabs>
          <w:tab w:val="clear" w:pos="4320"/>
          <w:tab w:val="clear" w:pos="8640"/>
        </w:tabs>
        <w:spacing w:line="240" w:lineRule="auto"/>
        <w:rPr>
          <w:sz w:val="22"/>
          <w:szCs w:val="22"/>
        </w:rPr>
      </w:pPr>
    </w:p>
    <w:p w:rsidR="003C075E" w:rsidRPr="008B361E" w:rsidRDefault="00083059">
      <w:pPr>
        <w:pStyle w:val="Header"/>
        <w:numPr>
          <w:ilvl w:val="0"/>
          <w:numId w:val="45"/>
        </w:numPr>
        <w:tabs>
          <w:tab w:val="clear" w:pos="4320"/>
          <w:tab w:val="clear" w:pos="8640"/>
        </w:tabs>
        <w:spacing w:line="240" w:lineRule="auto"/>
        <w:rPr>
          <w:color w:val="FF0000"/>
          <w:sz w:val="22"/>
        </w:rPr>
      </w:pPr>
      <w:r w:rsidRPr="00083059">
        <w:rPr>
          <w:color w:val="FF0000"/>
          <w:sz w:val="22"/>
          <w:u w:val="single"/>
        </w:rPr>
        <w:t>Development Team – Material Participation of Minority, Women’s and Veteran’s Businesses</w:t>
      </w:r>
      <w:r w:rsidRPr="00083059">
        <w:rPr>
          <w:color w:val="FF0000"/>
          <w:sz w:val="22"/>
        </w:rPr>
        <w:t xml:space="preserve"> – </w:t>
      </w:r>
    </w:p>
    <w:p w:rsidR="00083059" w:rsidRDefault="00083059" w:rsidP="00083059">
      <w:pPr>
        <w:pStyle w:val="Header"/>
        <w:tabs>
          <w:tab w:val="clear" w:pos="4320"/>
          <w:tab w:val="clear" w:pos="8640"/>
        </w:tabs>
        <w:spacing w:after="120" w:line="240" w:lineRule="auto"/>
        <w:ind w:left="720"/>
        <w:rPr>
          <w:sz w:val="22"/>
        </w:rPr>
      </w:pPr>
      <w:r w:rsidRPr="00083059">
        <w:rPr>
          <w:color w:val="FF0000"/>
          <w:sz w:val="22"/>
        </w:rPr>
        <w:t xml:space="preserve">The Agency may award up to </w:t>
      </w:r>
      <w:r w:rsidR="00534EDE">
        <w:rPr>
          <w:color w:val="FF0000"/>
          <w:sz w:val="22"/>
        </w:rPr>
        <w:t>ten</w:t>
      </w:r>
      <w:r w:rsidRPr="00083059">
        <w:rPr>
          <w:color w:val="FF0000"/>
          <w:sz w:val="22"/>
        </w:rPr>
        <w:t xml:space="preserve"> (</w:t>
      </w:r>
      <w:r w:rsidR="00534EDE">
        <w:rPr>
          <w:color w:val="FF0000"/>
          <w:sz w:val="22"/>
        </w:rPr>
        <w:t>10</w:t>
      </w:r>
      <w:r w:rsidRPr="00083059">
        <w:rPr>
          <w:color w:val="FF0000"/>
          <w:sz w:val="22"/>
        </w:rPr>
        <w:t xml:space="preserve">) points for material participation in the development team by a minority-owned business, woman-owned business, veteran-owned business or service-disabled veteran-owned business which meets eligibility criteria of the Small Diverse Business Program (“SBD”) operated by the Department of General Services.  A non-profit entity is eligible to receive points as an Owner/Developer or Management Agent if a minimum of fifty-one percent (51%) of the members of their board are minorities, women or veterans as evidenced by the non- profit’s organizational documents.  To qualify, the SBD/non-profit entity must materially participate in the development process and must have been involved with fewer than six (6) </w:t>
      </w:r>
      <w:r w:rsidRPr="00083059">
        <w:rPr>
          <w:color w:val="FF0000"/>
          <w:sz w:val="22"/>
          <w:szCs w:val="22"/>
        </w:rPr>
        <w:t xml:space="preserve">developments that have previously received approval for funding from the </w:t>
      </w:r>
      <w:proofErr w:type="spellStart"/>
      <w:r w:rsidRPr="00083059">
        <w:rPr>
          <w:color w:val="FF0000"/>
          <w:sz w:val="22"/>
          <w:szCs w:val="22"/>
        </w:rPr>
        <w:t>PennHOMES</w:t>
      </w:r>
      <w:proofErr w:type="spellEnd"/>
      <w:r w:rsidRPr="00083059">
        <w:rPr>
          <w:color w:val="FF0000"/>
          <w:sz w:val="22"/>
          <w:szCs w:val="22"/>
        </w:rPr>
        <w:t xml:space="preserve"> and/or</w:t>
      </w:r>
      <w:r w:rsidRPr="00083059">
        <w:rPr>
          <w:color w:val="FF0000"/>
          <w:sz w:val="22"/>
        </w:rPr>
        <w:t xml:space="preserve"> Tax Credit Programs in the last five (5) years. </w:t>
      </w:r>
    </w:p>
    <w:p w:rsidR="00083059" w:rsidRDefault="00083059" w:rsidP="00083059">
      <w:pPr>
        <w:pStyle w:val="Header"/>
        <w:tabs>
          <w:tab w:val="clear" w:pos="4320"/>
          <w:tab w:val="clear" w:pos="8640"/>
        </w:tabs>
        <w:spacing w:after="120" w:line="240" w:lineRule="auto"/>
        <w:ind w:left="720"/>
        <w:rPr>
          <w:sz w:val="22"/>
        </w:rPr>
      </w:pPr>
    </w:p>
    <w:tbl>
      <w:tblPr>
        <w:tblStyle w:val="TableGrid"/>
        <w:tblW w:w="0" w:type="auto"/>
        <w:tblInd w:w="1098" w:type="dxa"/>
        <w:tblLook w:val="04A0" w:firstRow="1" w:lastRow="0" w:firstColumn="1" w:lastColumn="0" w:noHBand="0" w:noVBand="1"/>
      </w:tblPr>
      <w:tblGrid>
        <w:gridCol w:w="3150"/>
        <w:gridCol w:w="2160"/>
        <w:gridCol w:w="3168"/>
      </w:tblGrid>
      <w:tr w:rsidR="00BE4A73" w:rsidTr="00F6373B">
        <w:tc>
          <w:tcPr>
            <w:tcW w:w="3150" w:type="dxa"/>
            <w:tcBorders>
              <w:top w:val="nil"/>
              <w:left w:val="nil"/>
              <w:bottom w:val="nil"/>
              <w:right w:val="nil"/>
            </w:tcBorders>
          </w:tcPr>
          <w:p w:rsidR="00BE4A73" w:rsidRDefault="00BE4A73" w:rsidP="00BE4A73">
            <w:pPr>
              <w:pStyle w:val="Header"/>
              <w:tabs>
                <w:tab w:val="clear" w:pos="4320"/>
                <w:tab w:val="clear" w:pos="8640"/>
              </w:tabs>
              <w:spacing w:line="240" w:lineRule="auto"/>
              <w:jc w:val="center"/>
              <w:rPr>
                <w:b/>
                <w:color w:val="FF0000"/>
                <w:sz w:val="22"/>
                <w:szCs w:val="22"/>
                <w:u w:val="single"/>
              </w:rPr>
            </w:pPr>
          </w:p>
          <w:p w:rsidR="00BE4A73" w:rsidRPr="00BE4A73" w:rsidRDefault="00BE4A73" w:rsidP="00BE4A73">
            <w:pPr>
              <w:pStyle w:val="Header"/>
              <w:tabs>
                <w:tab w:val="clear" w:pos="4320"/>
                <w:tab w:val="clear" w:pos="8640"/>
              </w:tabs>
              <w:spacing w:line="240" w:lineRule="auto"/>
              <w:jc w:val="center"/>
              <w:rPr>
                <w:b/>
                <w:color w:val="FF0000"/>
                <w:sz w:val="22"/>
                <w:szCs w:val="22"/>
                <w:u w:val="single"/>
              </w:rPr>
            </w:pPr>
            <w:r w:rsidRPr="00BE4A73">
              <w:rPr>
                <w:b/>
                <w:color w:val="FF0000"/>
                <w:sz w:val="22"/>
                <w:szCs w:val="22"/>
                <w:u w:val="single"/>
              </w:rPr>
              <w:t>Firm/Entity</w:t>
            </w:r>
          </w:p>
        </w:tc>
        <w:tc>
          <w:tcPr>
            <w:tcW w:w="2160" w:type="dxa"/>
            <w:tcBorders>
              <w:top w:val="nil"/>
              <w:left w:val="nil"/>
              <w:bottom w:val="nil"/>
              <w:right w:val="nil"/>
            </w:tcBorders>
          </w:tcPr>
          <w:p w:rsidR="00BE4A73" w:rsidRPr="00BE4A73" w:rsidRDefault="00BE4A73" w:rsidP="00F6373B">
            <w:pPr>
              <w:pStyle w:val="Header"/>
              <w:tabs>
                <w:tab w:val="clear" w:pos="4320"/>
                <w:tab w:val="clear" w:pos="8640"/>
              </w:tabs>
              <w:spacing w:line="240" w:lineRule="auto"/>
              <w:jc w:val="center"/>
              <w:rPr>
                <w:b/>
                <w:color w:val="FF0000"/>
                <w:sz w:val="22"/>
                <w:szCs w:val="22"/>
              </w:rPr>
            </w:pPr>
            <w:r w:rsidRPr="00BE4A73">
              <w:rPr>
                <w:b/>
                <w:color w:val="FF0000"/>
                <w:sz w:val="22"/>
                <w:szCs w:val="22"/>
              </w:rPr>
              <w:t xml:space="preserve">1%-4.99% of Total </w:t>
            </w:r>
            <w:r w:rsidRPr="00BE4A73">
              <w:rPr>
                <w:b/>
                <w:color w:val="FF0000"/>
                <w:sz w:val="22"/>
                <w:szCs w:val="22"/>
                <w:u w:val="single"/>
              </w:rPr>
              <w:t>Development Cost</w:t>
            </w:r>
          </w:p>
        </w:tc>
        <w:tc>
          <w:tcPr>
            <w:tcW w:w="3168" w:type="dxa"/>
            <w:tcBorders>
              <w:top w:val="nil"/>
              <w:left w:val="nil"/>
              <w:bottom w:val="nil"/>
              <w:right w:val="nil"/>
            </w:tcBorders>
          </w:tcPr>
          <w:p w:rsidR="00BE4A73" w:rsidRPr="00BE4A73" w:rsidRDefault="00BE4A73" w:rsidP="00F6373B">
            <w:pPr>
              <w:pStyle w:val="Header"/>
              <w:tabs>
                <w:tab w:val="clear" w:pos="4320"/>
                <w:tab w:val="clear" w:pos="8640"/>
              </w:tabs>
              <w:spacing w:line="240" w:lineRule="auto"/>
              <w:jc w:val="center"/>
              <w:rPr>
                <w:b/>
                <w:color w:val="FF0000"/>
                <w:sz w:val="22"/>
                <w:szCs w:val="22"/>
              </w:rPr>
            </w:pPr>
            <w:r w:rsidRPr="00BE4A73">
              <w:rPr>
                <w:b/>
                <w:color w:val="FF0000"/>
                <w:sz w:val="22"/>
                <w:szCs w:val="22"/>
              </w:rPr>
              <w:t xml:space="preserve">≥5% of Total </w:t>
            </w:r>
          </w:p>
          <w:p w:rsidR="00BE4A73" w:rsidRPr="00BE4A73" w:rsidRDefault="00BE4A73" w:rsidP="00F6373B">
            <w:pPr>
              <w:pStyle w:val="Header"/>
              <w:tabs>
                <w:tab w:val="clear" w:pos="4320"/>
                <w:tab w:val="clear" w:pos="8640"/>
              </w:tabs>
              <w:spacing w:line="240" w:lineRule="auto"/>
              <w:jc w:val="center"/>
              <w:rPr>
                <w:b/>
                <w:color w:val="FF0000"/>
                <w:sz w:val="22"/>
                <w:szCs w:val="22"/>
                <w:u w:val="single"/>
              </w:rPr>
            </w:pPr>
            <w:r w:rsidRPr="00BE4A73">
              <w:rPr>
                <w:b/>
                <w:color w:val="FF0000"/>
                <w:sz w:val="22"/>
                <w:szCs w:val="22"/>
                <w:u w:val="single"/>
              </w:rPr>
              <w:t>Development Cost</w:t>
            </w:r>
          </w:p>
          <w:p w:rsidR="00BE4A73" w:rsidRPr="00BE4A73" w:rsidRDefault="00BE4A73" w:rsidP="00F6373B">
            <w:pPr>
              <w:pStyle w:val="Header"/>
              <w:tabs>
                <w:tab w:val="clear" w:pos="4320"/>
                <w:tab w:val="clear" w:pos="8640"/>
              </w:tabs>
              <w:spacing w:line="240" w:lineRule="auto"/>
              <w:jc w:val="center"/>
              <w:rPr>
                <w:b/>
                <w:color w:val="FF0000"/>
                <w:sz w:val="22"/>
                <w:szCs w:val="22"/>
              </w:rPr>
            </w:pPr>
          </w:p>
        </w:tc>
      </w:tr>
      <w:tr w:rsidR="00074428" w:rsidTr="00F6373B">
        <w:tc>
          <w:tcPr>
            <w:tcW w:w="3150" w:type="dxa"/>
            <w:tcBorders>
              <w:top w:val="nil"/>
              <w:left w:val="nil"/>
              <w:bottom w:val="nil"/>
              <w:right w:val="nil"/>
            </w:tcBorders>
          </w:tcPr>
          <w:p w:rsidR="00074428" w:rsidRPr="008B361E" w:rsidRDefault="00074428" w:rsidP="00F6373B">
            <w:pPr>
              <w:pStyle w:val="Header"/>
              <w:tabs>
                <w:tab w:val="clear" w:pos="4320"/>
                <w:tab w:val="clear" w:pos="8640"/>
              </w:tabs>
              <w:spacing w:line="240" w:lineRule="auto"/>
              <w:rPr>
                <w:color w:val="FF0000"/>
                <w:sz w:val="22"/>
                <w:szCs w:val="22"/>
              </w:rPr>
            </w:pPr>
            <w:r w:rsidRPr="006049D3">
              <w:rPr>
                <w:color w:val="FF0000"/>
                <w:sz w:val="22"/>
                <w:szCs w:val="22"/>
              </w:rPr>
              <w:t>Professional Services</w:t>
            </w:r>
          </w:p>
        </w:tc>
        <w:tc>
          <w:tcPr>
            <w:tcW w:w="2160" w:type="dxa"/>
            <w:tcBorders>
              <w:top w:val="nil"/>
              <w:left w:val="nil"/>
              <w:bottom w:val="nil"/>
              <w:right w:val="nil"/>
            </w:tcBorders>
          </w:tcPr>
          <w:p w:rsidR="00074428" w:rsidRDefault="00534EDE" w:rsidP="00F6373B">
            <w:pPr>
              <w:pStyle w:val="Header"/>
              <w:tabs>
                <w:tab w:val="clear" w:pos="4320"/>
                <w:tab w:val="clear" w:pos="8640"/>
              </w:tabs>
              <w:spacing w:line="240" w:lineRule="auto"/>
              <w:jc w:val="center"/>
              <w:rPr>
                <w:color w:val="FF0000"/>
                <w:sz w:val="22"/>
                <w:szCs w:val="22"/>
              </w:rPr>
            </w:pPr>
            <w:r>
              <w:rPr>
                <w:color w:val="FF0000"/>
                <w:sz w:val="22"/>
                <w:szCs w:val="22"/>
              </w:rPr>
              <w:t>1</w:t>
            </w:r>
            <w:r w:rsidR="00074428" w:rsidRPr="006049D3">
              <w:rPr>
                <w:color w:val="FF0000"/>
                <w:sz w:val="22"/>
                <w:szCs w:val="22"/>
              </w:rPr>
              <w:t xml:space="preserve"> point</w:t>
            </w:r>
          </w:p>
        </w:tc>
        <w:tc>
          <w:tcPr>
            <w:tcW w:w="3168" w:type="dxa"/>
            <w:tcBorders>
              <w:top w:val="nil"/>
              <w:left w:val="nil"/>
              <w:bottom w:val="nil"/>
              <w:right w:val="nil"/>
            </w:tcBorders>
          </w:tcPr>
          <w:p w:rsidR="00074428" w:rsidRDefault="00534EDE" w:rsidP="00F6373B">
            <w:pPr>
              <w:pStyle w:val="Header"/>
              <w:tabs>
                <w:tab w:val="clear" w:pos="4320"/>
                <w:tab w:val="clear" w:pos="8640"/>
              </w:tabs>
              <w:spacing w:line="240" w:lineRule="auto"/>
              <w:jc w:val="center"/>
              <w:rPr>
                <w:color w:val="FF0000"/>
                <w:sz w:val="22"/>
                <w:szCs w:val="22"/>
              </w:rPr>
            </w:pPr>
            <w:r>
              <w:rPr>
                <w:color w:val="FF0000"/>
                <w:sz w:val="22"/>
                <w:szCs w:val="22"/>
              </w:rPr>
              <w:t>2</w:t>
            </w:r>
            <w:r w:rsidR="00074428" w:rsidRPr="006049D3">
              <w:rPr>
                <w:color w:val="FF0000"/>
                <w:sz w:val="22"/>
                <w:szCs w:val="22"/>
              </w:rPr>
              <w:t xml:space="preserve"> point</w:t>
            </w:r>
            <w:r w:rsidR="00306C5B">
              <w:rPr>
                <w:color w:val="FF0000"/>
                <w:sz w:val="22"/>
                <w:szCs w:val="22"/>
              </w:rPr>
              <w:t>s</w:t>
            </w:r>
          </w:p>
        </w:tc>
      </w:tr>
      <w:tr w:rsidR="00074428" w:rsidTr="00F6373B">
        <w:tc>
          <w:tcPr>
            <w:tcW w:w="3150" w:type="dxa"/>
            <w:tcBorders>
              <w:top w:val="nil"/>
              <w:left w:val="nil"/>
              <w:bottom w:val="nil"/>
              <w:right w:val="nil"/>
            </w:tcBorders>
          </w:tcPr>
          <w:p w:rsidR="00074428" w:rsidRPr="008B361E" w:rsidRDefault="00074428" w:rsidP="00F6373B">
            <w:pPr>
              <w:pStyle w:val="Header"/>
              <w:tabs>
                <w:tab w:val="clear" w:pos="4320"/>
                <w:tab w:val="clear" w:pos="8640"/>
              </w:tabs>
              <w:spacing w:line="240" w:lineRule="auto"/>
              <w:rPr>
                <w:color w:val="FF0000"/>
                <w:sz w:val="22"/>
                <w:szCs w:val="22"/>
              </w:rPr>
            </w:pPr>
            <w:r w:rsidRPr="006049D3">
              <w:rPr>
                <w:color w:val="FF0000"/>
                <w:sz w:val="22"/>
                <w:szCs w:val="22"/>
              </w:rPr>
              <w:t>General Contractor</w:t>
            </w:r>
          </w:p>
        </w:tc>
        <w:tc>
          <w:tcPr>
            <w:tcW w:w="2160" w:type="dxa"/>
            <w:tcBorders>
              <w:top w:val="nil"/>
              <w:left w:val="nil"/>
              <w:bottom w:val="nil"/>
              <w:right w:val="nil"/>
            </w:tcBorders>
          </w:tcPr>
          <w:p w:rsidR="00074428" w:rsidRDefault="00534EDE" w:rsidP="00F6373B">
            <w:pPr>
              <w:pStyle w:val="Header"/>
              <w:tabs>
                <w:tab w:val="clear" w:pos="4320"/>
                <w:tab w:val="clear" w:pos="8640"/>
              </w:tabs>
              <w:spacing w:line="240" w:lineRule="auto"/>
              <w:jc w:val="center"/>
              <w:rPr>
                <w:color w:val="FF0000"/>
                <w:sz w:val="22"/>
                <w:szCs w:val="22"/>
              </w:rPr>
            </w:pPr>
            <w:r>
              <w:rPr>
                <w:color w:val="FF0000"/>
                <w:sz w:val="22"/>
                <w:szCs w:val="22"/>
              </w:rPr>
              <w:t>1</w:t>
            </w:r>
            <w:r w:rsidR="00074428" w:rsidRPr="006049D3">
              <w:rPr>
                <w:color w:val="FF0000"/>
                <w:sz w:val="22"/>
                <w:szCs w:val="22"/>
              </w:rPr>
              <w:t xml:space="preserve"> point</w:t>
            </w:r>
          </w:p>
        </w:tc>
        <w:tc>
          <w:tcPr>
            <w:tcW w:w="3168" w:type="dxa"/>
            <w:tcBorders>
              <w:top w:val="nil"/>
              <w:left w:val="nil"/>
              <w:bottom w:val="nil"/>
              <w:right w:val="nil"/>
            </w:tcBorders>
          </w:tcPr>
          <w:p w:rsidR="00074428" w:rsidRDefault="00534EDE" w:rsidP="00F6373B">
            <w:pPr>
              <w:pStyle w:val="Header"/>
              <w:tabs>
                <w:tab w:val="clear" w:pos="4320"/>
                <w:tab w:val="clear" w:pos="8640"/>
              </w:tabs>
              <w:spacing w:line="240" w:lineRule="auto"/>
              <w:jc w:val="center"/>
              <w:rPr>
                <w:color w:val="FF0000"/>
                <w:sz w:val="22"/>
                <w:szCs w:val="22"/>
              </w:rPr>
            </w:pPr>
            <w:r>
              <w:rPr>
                <w:color w:val="FF0000"/>
                <w:sz w:val="22"/>
                <w:szCs w:val="22"/>
              </w:rPr>
              <w:t>2</w:t>
            </w:r>
            <w:r w:rsidR="00074428" w:rsidRPr="006049D3">
              <w:rPr>
                <w:color w:val="FF0000"/>
                <w:sz w:val="22"/>
                <w:szCs w:val="22"/>
              </w:rPr>
              <w:t xml:space="preserve"> point</w:t>
            </w:r>
            <w:r w:rsidR="00306C5B">
              <w:rPr>
                <w:color w:val="FF0000"/>
                <w:sz w:val="22"/>
                <w:szCs w:val="22"/>
              </w:rPr>
              <w:t>s</w:t>
            </w:r>
          </w:p>
        </w:tc>
      </w:tr>
      <w:tr w:rsidR="00074428" w:rsidTr="00F6373B">
        <w:tc>
          <w:tcPr>
            <w:tcW w:w="3150" w:type="dxa"/>
            <w:tcBorders>
              <w:top w:val="nil"/>
              <w:left w:val="nil"/>
              <w:bottom w:val="nil"/>
              <w:right w:val="nil"/>
            </w:tcBorders>
          </w:tcPr>
          <w:p w:rsidR="00074428" w:rsidRPr="008B361E" w:rsidRDefault="00074428" w:rsidP="00F6373B">
            <w:pPr>
              <w:pStyle w:val="Header"/>
              <w:tabs>
                <w:tab w:val="clear" w:pos="4320"/>
                <w:tab w:val="clear" w:pos="8640"/>
              </w:tabs>
              <w:spacing w:line="240" w:lineRule="auto"/>
              <w:rPr>
                <w:color w:val="FF0000"/>
                <w:sz w:val="22"/>
                <w:szCs w:val="22"/>
              </w:rPr>
            </w:pPr>
            <w:r w:rsidRPr="006049D3">
              <w:rPr>
                <w:color w:val="FF0000"/>
                <w:sz w:val="22"/>
                <w:szCs w:val="22"/>
              </w:rPr>
              <w:t>Sub-Contractors/Vendors</w:t>
            </w:r>
          </w:p>
        </w:tc>
        <w:tc>
          <w:tcPr>
            <w:tcW w:w="2160" w:type="dxa"/>
            <w:tcBorders>
              <w:top w:val="nil"/>
              <w:left w:val="nil"/>
              <w:bottom w:val="nil"/>
              <w:right w:val="nil"/>
            </w:tcBorders>
          </w:tcPr>
          <w:p w:rsidR="00074428" w:rsidRDefault="00534EDE" w:rsidP="00F6373B">
            <w:pPr>
              <w:pStyle w:val="Header"/>
              <w:tabs>
                <w:tab w:val="clear" w:pos="4320"/>
                <w:tab w:val="clear" w:pos="8640"/>
              </w:tabs>
              <w:spacing w:line="240" w:lineRule="auto"/>
              <w:jc w:val="center"/>
              <w:rPr>
                <w:color w:val="FF0000"/>
                <w:sz w:val="22"/>
                <w:szCs w:val="22"/>
              </w:rPr>
            </w:pPr>
            <w:r>
              <w:rPr>
                <w:color w:val="FF0000"/>
                <w:sz w:val="22"/>
                <w:szCs w:val="22"/>
              </w:rPr>
              <w:t>1</w:t>
            </w:r>
            <w:r w:rsidR="00074428" w:rsidRPr="006049D3">
              <w:rPr>
                <w:color w:val="FF0000"/>
                <w:sz w:val="22"/>
                <w:szCs w:val="22"/>
              </w:rPr>
              <w:t xml:space="preserve"> point</w:t>
            </w:r>
          </w:p>
        </w:tc>
        <w:tc>
          <w:tcPr>
            <w:tcW w:w="3168" w:type="dxa"/>
            <w:tcBorders>
              <w:top w:val="nil"/>
              <w:left w:val="nil"/>
              <w:bottom w:val="nil"/>
              <w:right w:val="nil"/>
            </w:tcBorders>
          </w:tcPr>
          <w:p w:rsidR="00074428" w:rsidRDefault="00534EDE" w:rsidP="00F6373B">
            <w:pPr>
              <w:pStyle w:val="Header"/>
              <w:tabs>
                <w:tab w:val="clear" w:pos="4320"/>
                <w:tab w:val="clear" w:pos="8640"/>
              </w:tabs>
              <w:spacing w:line="240" w:lineRule="auto"/>
              <w:jc w:val="center"/>
              <w:rPr>
                <w:color w:val="FF0000"/>
                <w:sz w:val="22"/>
                <w:szCs w:val="22"/>
              </w:rPr>
            </w:pPr>
            <w:r>
              <w:rPr>
                <w:color w:val="FF0000"/>
                <w:sz w:val="22"/>
                <w:szCs w:val="22"/>
              </w:rPr>
              <w:t>2</w:t>
            </w:r>
            <w:r w:rsidR="00074428" w:rsidRPr="006049D3">
              <w:rPr>
                <w:color w:val="FF0000"/>
                <w:sz w:val="22"/>
                <w:szCs w:val="22"/>
              </w:rPr>
              <w:t xml:space="preserve"> point</w:t>
            </w:r>
            <w:r w:rsidR="00306C5B">
              <w:rPr>
                <w:color w:val="FF0000"/>
                <w:sz w:val="22"/>
                <w:szCs w:val="22"/>
              </w:rPr>
              <w:t>s</w:t>
            </w:r>
          </w:p>
          <w:p w:rsidR="00074428" w:rsidRDefault="00074428" w:rsidP="00F6373B">
            <w:pPr>
              <w:pStyle w:val="Header"/>
              <w:tabs>
                <w:tab w:val="clear" w:pos="4320"/>
                <w:tab w:val="clear" w:pos="8640"/>
              </w:tabs>
              <w:spacing w:line="240" w:lineRule="auto"/>
              <w:jc w:val="center"/>
              <w:rPr>
                <w:color w:val="FF0000"/>
                <w:sz w:val="22"/>
                <w:szCs w:val="22"/>
              </w:rPr>
            </w:pPr>
          </w:p>
        </w:tc>
      </w:tr>
      <w:tr w:rsidR="00074428" w:rsidRPr="008B361E" w:rsidTr="00F6373B">
        <w:tc>
          <w:tcPr>
            <w:tcW w:w="3150" w:type="dxa"/>
            <w:tcBorders>
              <w:top w:val="nil"/>
              <w:left w:val="nil"/>
              <w:bottom w:val="nil"/>
              <w:right w:val="nil"/>
            </w:tcBorders>
            <w:shd w:val="clear" w:color="auto" w:fill="FFFFFF" w:themeFill="background1"/>
          </w:tcPr>
          <w:p w:rsidR="00083059" w:rsidRPr="00083059" w:rsidRDefault="00B6373E" w:rsidP="00083059">
            <w:pPr>
              <w:pStyle w:val="Header"/>
              <w:tabs>
                <w:tab w:val="clear" w:pos="4320"/>
                <w:tab w:val="clear" w:pos="8640"/>
              </w:tabs>
              <w:spacing w:line="240" w:lineRule="auto"/>
              <w:jc w:val="center"/>
              <w:rPr>
                <w:b/>
                <w:color w:val="FF0000"/>
                <w:sz w:val="22"/>
                <w:szCs w:val="22"/>
                <w:u w:val="single"/>
              </w:rPr>
            </w:pPr>
            <w:r>
              <w:rPr>
                <w:b/>
                <w:color w:val="FF0000"/>
                <w:sz w:val="22"/>
                <w:szCs w:val="22"/>
                <w:u w:val="single"/>
              </w:rPr>
              <w:t>Firm/Entity</w:t>
            </w:r>
          </w:p>
          <w:p w:rsidR="00074428" w:rsidRPr="008B361E" w:rsidRDefault="00074428" w:rsidP="00F6373B">
            <w:pPr>
              <w:pStyle w:val="Header"/>
              <w:tabs>
                <w:tab w:val="clear" w:pos="4320"/>
                <w:tab w:val="clear" w:pos="8640"/>
              </w:tabs>
              <w:spacing w:line="240" w:lineRule="auto"/>
              <w:rPr>
                <w:b/>
                <w:color w:val="FF0000"/>
                <w:sz w:val="22"/>
                <w:szCs w:val="22"/>
              </w:rPr>
            </w:pPr>
          </w:p>
        </w:tc>
        <w:tc>
          <w:tcPr>
            <w:tcW w:w="2160" w:type="dxa"/>
            <w:tcBorders>
              <w:top w:val="nil"/>
              <w:left w:val="nil"/>
              <w:bottom w:val="nil"/>
              <w:right w:val="nil"/>
            </w:tcBorders>
            <w:shd w:val="clear" w:color="auto" w:fill="FFFFFF" w:themeFill="background1"/>
          </w:tcPr>
          <w:p w:rsidR="00074428" w:rsidRPr="008B361E" w:rsidRDefault="00074428" w:rsidP="00F6373B">
            <w:pPr>
              <w:pStyle w:val="Header"/>
              <w:tabs>
                <w:tab w:val="clear" w:pos="4320"/>
                <w:tab w:val="clear" w:pos="8640"/>
              </w:tabs>
              <w:spacing w:line="240" w:lineRule="auto"/>
              <w:rPr>
                <w:color w:val="FF0000"/>
                <w:sz w:val="22"/>
                <w:szCs w:val="22"/>
              </w:rPr>
            </w:pPr>
          </w:p>
        </w:tc>
        <w:tc>
          <w:tcPr>
            <w:tcW w:w="3168" w:type="dxa"/>
            <w:tcBorders>
              <w:top w:val="nil"/>
              <w:left w:val="nil"/>
              <w:bottom w:val="nil"/>
              <w:right w:val="nil"/>
            </w:tcBorders>
            <w:shd w:val="clear" w:color="auto" w:fill="FFFFFF" w:themeFill="background1"/>
          </w:tcPr>
          <w:p w:rsidR="00074428" w:rsidRPr="008B361E" w:rsidRDefault="00BE4A73" w:rsidP="00BE4A73">
            <w:pPr>
              <w:pStyle w:val="Header"/>
              <w:tabs>
                <w:tab w:val="clear" w:pos="4320"/>
                <w:tab w:val="clear" w:pos="8640"/>
              </w:tabs>
              <w:spacing w:line="240" w:lineRule="auto"/>
              <w:jc w:val="center"/>
              <w:rPr>
                <w:color w:val="FF0000"/>
                <w:sz w:val="22"/>
                <w:szCs w:val="22"/>
              </w:rPr>
            </w:pPr>
            <w:r w:rsidRPr="00BE4A73">
              <w:rPr>
                <w:b/>
                <w:color w:val="FF0000"/>
                <w:sz w:val="22"/>
                <w:szCs w:val="22"/>
                <w:u w:val="single"/>
              </w:rPr>
              <w:t>Point</w:t>
            </w:r>
            <w:r>
              <w:rPr>
                <w:b/>
                <w:color w:val="FF0000"/>
                <w:sz w:val="22"/>
                <w:szCs w:val="22"/>
                <w:u w:val="single"/>
              </w:rPr>
              <w:t>s</w:t>
            </w:r>
            <w:r w:rsidRPr="00BE4A73">
              <w:rPr>
                <w:b/>
                <w:color w:val="FF0000"/>
                <w:sz w:val="22"/>
                <w:szCs w:val="22"/>
                <w:u w:val="single"/>
              </w:rPr>
              <w:t xml:space="preserve"> for</w:t>
            </w:r>
            <w:r w:rsidRPr="00BE4A73">
              <w:rPr>
                <w:color w:val="FF0000"/>
                <w:sz w:val="22"/>
                <w:szCs w:val="22"/>
                <w:u w:val="single"/>
              </w:rPr>
              <w:t xml:space="preserve"> </w:t>
            </w:r>
            <w:r w:rsidRPr="00BE4A73">
              <w:rPr>
                <w:b/>
                <w:color w:val="FF0000"/>
                <w:sz w:val="22"/>
                <w:szCs w:val="22"/>
                <w:u w:val="single"/>
              </w:rPr>
              <w:t>Participation</w:t>
            </w:r>
          </w:p>
        </w:tc>
      </w:tr>
      <w:tr w:rsidR="00074428" w:rsidTr="00F6373B">
        <w:trPr>
          <w:trHeight w:val="68"/>
        </w:trPr>
        <w:tc>
          <w:tcPr>
            <w:tcW w:w="3150" w:type="dxa"/>
            <w:tcBorders>
              <w:top w:val="nil"/>
              <w:left w:val="nil"/>
              <w:bottom w:val="nil"/>
              <w:right w:val="nil"/>
            </w:tcBorders>
          </w:tcPr>
          <w:p w:rsidR="00074428" w:rsidRPr="008B361E" w:rsidRDefault="00074428" w:rsidP="00F6373B">
            <w:pPr>
              <w:pStyle w:val="Header"/>
              <w:tabs>
                <w:tab w:val="clear" w:pos="4320"/>
                <w:tab w:val="clear" w:pos="8640"/>
              </w:tabs>
              <w:spacing w:line="240" w:lineRule="auto"/>
              <w:rPr>
                <w:color w:val="FF0000"/>
                <w:sz w:val="22"/>
                <w:szCs w:val="22"/>
              </w:rPr>
            </w:pPr>
            <w:r w:rsidRPr="006049D3">
              <w:rPr>
                <w:color w:val="FF0000"/>
                <w:sz w:val="22"/>
                <w:szCs w:val="22"/>
              </w:rPr>
              <w:t>Owner/Developer</w:t>
            </w:r>
          </w:p>
        </w:tc>
        <w:tc>
          <w:tcPr>
            <w:tcW w:w="2160" w:type="dxa"/>
            <w:tcBorders>
              <w:top w:val="nil"/>
              <w:left w:val="nil"/>
              <w:bottom w:val="nil"/>
              <w:right w:val="nil"/>
            </w:tcBorders>
          </w:tcPr>
          <w:p w:rsidR="00074428" w:rsidRPr="008B361E" w:rsidRDefault="00074428" w:rsidP="00F6373B">
            <w:pPr>
              <w:pStyle w:val="Header"/>
              <w:tabs>
                <w:tab w:val="clear" w:pos="4320"/>
                <w:tab w:val="clear" w:pos="8640"/>
              </w:tabs>
              <w:spacing w:line="240" w:lineRule="auto"/>
              <w:rPr>
                <w:color w:val="FF0000"/>
                <w:sz w:val="22"/>
                <w:szCs w:val="22"/>
              </w:rPr>
            </w:pPr>
          </w:p>
        </w:tc>
        <w:tc>
          <w:tcPr>
            <w:tcW w:w="3168" w:type="dxa"/>
            <w:tcBorders>
              <w:top w:val="nil"/>
              <w:left w:val="nil"/>
              <w:bottom w:val="nil"/>
              <w:right w:val="nil"/>
            </w:tcBorders>
          </w:tcPr>
          <w:p w:rsidR="00074428" w:rsidRDefault="00823000" w:rsidP="00F6373B">
            <w:pPr>
              <w:pStyle w:val="Header"/>
              <w:tabs>
                <w:tab w:val="clear" w:pos="4320"/>
                <w:tab w:val="clear" w:pos="8640"/>
              </w:tabs>
              <w:spacing w:line="240" w:lineRule="auto"/>
              <w:jc w:val="center"/>
              <w:rPr>
                <w:color w:val="FF0000"/>
                <w:sz w:val="22"/>
                <w:szCs w:val="22"/>
              </w:rPr>
            </w:pPr>
            <w:r>
              <w:rPr>
                <w:color w:val="FF0000"/>
                <w:sz w:val="22"/>
                <w:szCs w:val="22"/>
              </w:rPr>
              <w:t xml:space="preserve"> </w:t>
            </w:r>
            <w:r w:rsidR="00534EDE">
              <w:rPr>
                <w:color w:val="FF0000"/>
                <w:sz w:val="22"/>
                <w:szCs w:val="22"/>
              </w:rPr>
              <w:t>3</w:t>
            </w:r>
            <w:r w:rsidR="00074428" w:rsidRPr="006049D3">
              <w:rPr>
                <w:color w:val="FF0000"/>
                <w:sz w:val="22"/>
                <w:szCs w:val="22"/>
              </w:rPr>
              <w:t xml:space="preserve"> points</w:t>
            </w:r>
          </w:p>
        </w:tc>
      </w:tr>
      <w:tr w:rsidR="00074428" w:rsidTr="00F6373B">
        <w:tc>
          <w:tcPr>
            <w:tcW w:w="3150" w:type="dxa"/>
            <w:tcBorders>
              <w:top w:val="nil"/>
              <w:left w:val="nil"/>
              <w:bottom w:val="nil"/>
              <w:right w:val="nil"/>
            </w:tcBorders>
          </w:tcPr>
          <w:p w:rsidR="00306C5B" w:rsidRDefault="00074428">
            <w:pPr>
              <w:pStyle w:val="Header"/>
              <w:tabs>
                <w:tab w:val="clear" w:pos="4320"/>
                <w:tab w:val="clear" w:pos="8640"/>
              </w:tabs>
              <w:spacing w:line="240" w:lineRule="auto"/>
              <w:rPr>
                <w:color w:val="FF0000"/>
                <w:sz w:val="22"/>
                <w:szCs w:val="22"/>
              </w:rPr>
            </w:pPr>
            <w:r w:rsidRPr="006049D3">
              <w:rPr>
                <w:color w:val="FF0000"/>
                <w:sz w:val="22"/>
                <w:szCs w:val="22"/>
              </w:rPr>
              <w:t xml:space="preserve">Management </w:t>
            </w:r>
            <w:r w:rsidR="00534EDE">
              <w:rPr>
                <w:color w:val="FF0000"/>
                <w:sz w:val="22"/>
                <w:szCs w:val="22"/>
              </w:rPr>
              <w:t>Agent</w:t>
            </w:r>
            <w:r w:rsidRPr="006049D3">
              <w:rPr>
                <w:color w:val="FF0000"/>
                <w:sz w:val="22"/>
                <w:szCs w:val="22"/>
              </w:rPr>
              <w:t xml:space="preserve"> </w:t>
            </w:r>
            <w:r w:rsidR="00F535D3">
              <w:rPr>
                <w:color w:val="FF0000"/>
                <w:sz w:val="22"/>
                <w:szCs w:val="22"/>
              </w:rPr>
              <w:t>-</w:t>
            </w:r>
          </w:p>
          <w:p w:rsidR="00083059" w:rsidRDefault="00F535D3" w:rsidP="00BE4A73">
            <w:pPr>
              <w:pStyle w:val="Header"/>
              <w:tabs>
                <w:tab w:val="clear" w:pos="4320"/>
                <w:tab w:val="clear" w:pos="8640"/>
              </w:tabs>
              <w:spacing w:line="240" w:lineRule="auto"/>
              <w:rPr>
                <w:color w:val="FF0000"/>
                <w:sz w:val="22"/>
                <w:szCs w:val="22"/>
              </w:rPr>
            </w:pPr>
            <w:r>
              <w:rPr>
                <w:color w:val="FF0000"/>
                <w:sz w:val="22"/>
                <w:szCs w:val="22"/>
              </w:rPr>
              <w:t xml:space="preserve">     </w:t>
            </w:r>
            <w:r w:rsidR="00074428" w:rsidRPr="006049D3">
              <w:rPr>
                <w:color w:val="FF0000"/>
                <w:sz w:val="22"/>
                <w:szCs w:val="22"/>
              </w:rPr>
              <w:t>(Minimum 2 year contract)</w:t>
            </w:r>
          </w:p>
        </w:tc>
        <w:tc>
          <w:tcPr>
            <w:tcW w:w="2160" w:type="dxa"/>
            <w:tcBorders>
              <w:top w:val="nil"/>
              <w:left w:val="nil"/>
              <w:bottom w:val="nil"/>
              <w:right w:val="nil"/>
            </w:tcBorders>
          </w:tcPr>
          <w:p w:rsidR="00074428" w:rsidRPr="008B361E" w:rsidRDefault="00074428" w:rsidP="00F6373B">
            <w:pPr>
              <w:pStyle w:val="Header"/>
              <w:tabs>
                <w:tab w:val="clear" w:pos="4320"/>
                <w:tab w:val="clear" w:pos="8640"/>
              </w:tabs>
              <w:spacing w:line="240" w:lineRule="auto"/>
              <w:rPr>
                <w:color w:val="FF0000"/>
                <w:sz w:val="22"/>
                <w:szCs w:val="22"/>
              </w:rPr>
            </w:pPr>
          </w:p>
        </w:tc>
        <w:tc>
          <w:tcPr>
            <w:tcW w:w="3168" w:type="dxa"/>
            <w:tcBorders>
              <w:top w:val="nil"/>
              <w:left w:val="nil"/>
              <w:bottom w:val="nil"/>
              <w:right w:val="nil"/>
            </w:tcBorders>
          </w:tcPr>
          <w:p w:rsidR="00074428" w:rsidRDefault="00823000" w:rsidP="00F6373B">
            <w:pPr>
              <w:pStyle w:val="Header"/>
              <w:tabs>
                <w:tab w:val="clear" w:pos="4320"/>
                <w:tab w:val="clear" w:pos="8640"/>
              </w:tabs>
              <w:spacing w:line="240" w:lineRule="auto"/>
              <w:jc w:val="center"/>
              <w:rPr>
                <w:color w:val="FF0000"/>
                <w:sz w:val="22"/>
                <w:szCs w:val="22"/>
              </w:rPr>
            </w:pPr>
            <w:r>
              <w:rPr>
                <w:color w:val="FF0000"/>
                <w:sz w:val="22"/>
                <w:szCs w:val="22"/>
              </w:rPr>
              <w:t xml:space="preserve"> </w:t>
            </w:r>
            <w:r w:rsidR="00534EDE">
              <w:rPr>
                <w:color w:val="FF0000"/>
                <w:sz w:val="22"/>
                <w:szCs w:val="22"/>
              </w:rPr>
              <w:t>2</w:t>
            </w:r>
            <w:r w:rsidR="00074428" w:rsidRPr="006049D3">
              <w:rPr>
                <w:color w:val="FF0000"/>
                <w:sz w:val="22"/>
                <w:szCs w:val="22"/>
              </w:rPr>
              <w:t xml:space="preserve"> point</w:t>
            </w:r>
            <w:r>
              <w:rPr>
                <w:color w:val="FF0000"/>
                <w:sz w:val="22"/>
                <w:szCs w:val="22"/>
              </w:rPr>
              <w:t>s</w:t>
            </w:r>
          </w:p>
        </w:tc>
      </w:tr>
    </w:tbl>
    <w:p w:rsidR="00514352" w:rsidRDefault="00514352" w:rsidP="0050164E">
      <w:pPr>
        <w:pStyle w:val="Header"/>
        <w:tabs>
          <w:tab w:val="clear" w:pos="4320"/>
          <w:tab w:val="clear" w:pos="8640"/>
        </w:tabs>
        <w:spacing w:after="120" w:line="240" w:lineRule="auto"/>
        <w:ind w:left="1800" w:firstLine="360"/>
        <w:rPr>
          <w:b/>
          <w:color w:val="FF0000"/>
          <w:sz w:val="22"/>
          <w:szCs w:val="22"/>
          <w:u w:val="single"/>
        </w:rPr>
      </w:pPr>
    </w:p>
    <w:p w:rsidR="00D2410C" w:rsidRDefault="00D2410C">
      <w:pPr>
        <w:widowControl/>
        <w:adjustRightInd/>
        <w:spacing w:line="240" w:lineRule="auto"/>
        <w:jc w:val="left"/>
        <w:textAlignment w:val="auto"/>
        <w:rPr>
          <w:b/>
          <w:color w:val="FF0000"/>
          <w:sz w:val="22"/>
          <w:szCs w:val="22"/>
          <w:u w:val="single"/>
        </w:rPr>
      </w:pPr>
      <w:r>
        <w:rPr>
          <w:b/>
          <w:color w:val="FF0000"/>
          <w:sz w:val="22"/>
          <w:szCs w:val="22"/>
          <w:u w:val="single"/>
        </w:rPr>
        <w:br w:type="page"/>
      </w:r>
    </w:p>
    <w:p w:rsidR="00074428" w:rsidRPr="008B361E" w:rsidRDefault="00074428" w:rsidP="0050164E">
      <w:pPr>
        <w:pStyle w:val="Header"/>
        <w:tabs>
          <w:tab w:val="clear" w:pos="4320"/>
          <w:tab w:val="clear" w:pos="8640"/>
        </w:tabs>
        <w:spacing w:after="120" w:line="240" w:lineRule="auto"/>
        <w:ind w:left="1800" w:firstLine="360"/>
        <w:rPr>
          <w:b/>
          <w:color w:val="FF0000"/>
          <w:sz w:val="22"/>
          <w:szCs w:val="22"/>
          <w:u w:val="single"/>
        </w:rPr>
      </w:pPr>
    </w:p>
    <w:p w:rsidR="002C51D1" w:rsidRPr="008B361E" w:rsidRDefault="00083059" w:rsidP="00E41FCC">
      <w:pPr>
        <w:pStyle w:val="Header"/>
        <w:numPr>
          <w:ilvl w:val="0"/>
          <w:numId w:val="45"/>
        </w:numPr>
        <w:tabs>
          <w:tab w:val="clear" w:pos="4320"/>
          <w:tab w:val="clear" w:pos="8640"/>
        </w:tabs>
        <w:spacing w:line="240" w:lineRule="auto"/>
        <w:rPr>
          <w:color w:val="FF0000"/>
          <w:sz w:val="22"/>
        </w:rPr>
      </w:pPr>
      <w:r w:rsidRPr="00083059">
        <w:rPr>
          <w:color w:val="FF0000"/>
          <w:sz w:val="22"/>
          <w:u w:val="single"/>
        </w:rPr>
        <w:t>Ability to Proceed</w:t>
      </w:r>
      <w:r w:rsidRPr="00083059">
        <w:rPr>
          <w:color w:val="FF0000"/>
          <w:sz w:val="22"/>
        </w:rPr>
        <w:t xml:space="preserve"> – Points may be awarded for zoning and</w:t>
      </w:r>
      <w:r w:rsidR="00DC012D">
        <w:rPr>
          <w:color w:val="FF0000"/>
          <w:sz w:val="22"/>
        </w:rPr>
        <w:t xml:space="preserve"> </w:t>
      </w:r>
      <w:r w:rsidRPr="00083059">
        <w:rPr>
          <w:color w:val="FF0000"/>
          <w:sz w:val="22"/>
        </w:rPr>
        <w:t>committed funding sources.  As the Agency strives to make resources available to those projects which can quickly and effectively utilize its resources, consideration will be given to those properties which can demonstrate the ability to proceed.  A total amount of 20 points may be awarded in this category.</w:t>
      </w:r>
    </w:p>
    <w:p w:rsidR="004B4514" w:rsidRPr="008B361E" w:rsidRDefault="004B4514" w:rsidP="004B4514">
      <w:pPr>
        <w:pStyle w:val="Header"/>
        <w:tabs>
          <w:tab w:val="clear" w:pos="4320"/>
          <w:tab w:val="clear" w:pos="8640"/>
        </w:tabs>
        <w:spacing w:line="240" w:lineRule="auto"/>
        <w:ind w:left="1080" w:hanging="360"/>
        <w:rPr>
          <w:color w:val="FF0000"/>
          <w:sz w:val="22"/>
        </w:rPr>
      </w:pPr>
    </w:p>
    <w:p w:rsidR="00105202" w:rsidRPr="008B361E" w:rsidRDefault="00083059" w:rsidP="00275119">
      <w:pPr>
        <w:pStyle w:val="Header"/>
        <w:widowControl/>
        <w:numPr>
          <w:ilvl w:val="0"/>
          <w:numId w:val="3"/>
        </w:numPr>
        <w:tabs>
          <w:tab w:val="clear" w:pos="4320"/>
          <w:tab w:val="clear" w:pos="8640"/>
          <w:tab w:val="num" w:pos="1800"/>
        </w:tabs>
        <w:adjustRightInd/>
        <w:spacing w:after="120" w:line="240" w:lineRule="auto"/>
        <w:ind w:left="1080"/>
        <w:textAlignment w:val="auto"/>
        <w:rPr>
          <w:color w:val="FF0000"/>
          <w:sz w:val="22"/>
          <w:u w:val="single"/>
        </w:rPr>
      </w:pPr>
      <w:r w:rsidRPr="00083059">
        <w:rPr>
          <w:color w:val="FF0000"/>
          <w:sz w:val="22"/>
          <w:u w:val="single"/>
        </w:rPr>
        <w:t>Zoning</w:t>
      </w:r>
      <w:r w:rsidRPr="00083059">
        <w:rPr>
          <w:color w:val="FF0000"/>
          <w:sz w:val="22"/>
        </w:rPr>
        <w:t xml:space="preserve"> (up to ten (10) points) </w:t>
      </w:r>
    </w:p>
    <w:p w:rsidR="00083059" w:rsidRPr="00083059" w:rsidRDefault="00083059" w:rsidP="00083059">
      <w:pPr>
        <w:pStyle w:val="Header"/>
        <w:widowControl/>
        <w:numPr>
          <w:ilvl w:val="0"/>
          <w:numId w:val="62"/>
        </w:numPr>
        <w:tabs>
          <w:tab w:val="clear" w:pos="4320"/>
          <w:tab w:val="clear" w:pos="8640"/>
        </w:tabs>
        <w:adjustRightInd/>
        <w:spacing w:after="120" w:line="240" w:lineRule="auto"/>
        <w:ind w:left="1500"/>
        <w:textAlignment w:val="auto"/>
        <w:rPr>
          <w:color w:val="FF0000"/>
          <w:sz w:val="22"/>
          <w:u w:val="single"/>
        </w:rPr>
      </w:pPr>
      <w:r w:rsidRPr="00083059">
        <w:rPr>
          <w:color w:val="FF0000"/>
          <w:sz w:val="22"/>
        </w:rPr>
        <w:t>Up to five (5) points will be av</w:t>
      </w:r>
      <w:r w:rsidR="00823000">
        <w:rPr>
          <w:color w:val="FF0000"/>
          <w:sz w:val="22"/>
        </w:rPr>
        <w:t xml:space="preserve">ailable for developments which </w:t>
      </w:r>
      <w:r w:rsidRPr="00083059">
        <w:rPr>
          <w:color w:val="FF0000"/>
          <w:sz w:val="22"/>
        </w:rPr>
        <w:t xml:space="preserve">demonstrate that current zoning is in place to allow for the proposed construction or rehabilitation on all sites included in the Application, to the satisfaction of the Agency. Consideration of points in this category will be given to those developments which provide evidence that all variances and special exceptions will be in place on or before November 11, 2016.  Failure to submit evidence of full zoning approval by said date may result in negative ranking points assessed to future Applications. </w:t>
      </w:r>
    </w:p>
    <w:p w:rsidR="00083059" w:rsidRPr="00083059" w:rsidRDefault="00083059" w:rsidP="00083059">
      <w:pPr>
        <w:pStyle w:val="Header"/>
        <w:widowControl/>
        <w:numPr>
          <w:ilvl w:val="0"/>
          <w:numId w:val="62"/>
        </w:numPr>
        <w:tabs>
          <w:tab w:val="clear" w:pos="4320"/>
          <w:tab w:val="clear" w:pos="8640"/>
        </w:tabs>
        <w:adjustRightInd/>
        <w:spacing w:after="120" w:line="240" w:lineRule="auto"/>
        <w:ind w:left="1500"/>
        <w:textAlignment w:val="auto"/>
        <w:rPr>
          <w:color w:val="FF0000"/>
          <w:sz w:val="22"/>
        </w:rPr>
      </w:pPr>
      <w:r w:rsidRPr="00083059">
        <w:rPr>
          <w:color w:val="FF0000"/>
          <w:sz w:val="22"/>
        </w:rPr>
        <w:t xml:space="preserve">Up to ten (10) points will be available </w:t>
      </w:r>
      <w:r w:rsidR="00DC012D">
        <w:rPr>
          <w:color w:val="FF0000"/>
          <w:sz w:val="22"/>
        </w:rPr>
        <w:t xml:space="preserve">for </w:t>
      </w:r>
      <w:r w:rsidRPr="00083059">
        <w:rPr>
          <w:color w:val="FF0000"/>
          <w:sz w:val="22"/>
        </w:rPr>
        <w:t xml:space="preserve">developments that provide evidence that zoning is in place for all sites included in the Application and that all variances/special exceptions have been approved.  </w:t>
      </w:r>
    </w:p>
    <w:p w:rsidR="00083059" w:rsidRPr="00083059" w:rsidRDefault="00083059" w:rsidP="00823000">
      <w:pPr>
        <w:pStyle w:val="Header"/>
        <w:widowControl/>
        <w:numPr>
          <w:ilvl w:val="0"/>
          <w:numId w:val="2"/>
        </w:numPr>
        <w:tabs>
          <w:tab w:val="clear" w:pos="4320"/>
          <w:tab w:val="clear" w:pos="8640"/>
          <w:tab w:val="left" w:pos="1170"/>
        </w:tabs>
        <w:adjustRightInd/>
        <w:spacing w:before="120" w:after="120" w:line="240" w:lineRule="auto"/>
        <w:ind w:left="1080"/>
        <w:textAlignment w:val="auto"/>
        <w:rPr>
          <w:color w:val="FF0000"/>
          <w:sz w:val="22"/>
          <w:u w:val="single"/>
        </w:rPr>
      </w:pPr>
      <w:r w:rsidRPr="00083059">
        <w:rPr>
          <w:color w:val="FF0000"/>
          <w:sz w:val="22"/>
          <w:u w:val="single"/>
        </w:rPr>
        <w:t>Commitment of Funds</w:t>
      </w:r>
      <w:r w:rsidRPr="00083059">
        <w:rPr>
          <w:color w:val="FF0000"/>
          <w:sz w:val="22"/>
        </w:rPr>
        <w:t xml:space="preserve"> (Up to ten (10) points) – The developer must provide evidence, satisfactory to the Agency, that all funding commitments from public and private lenders have been secured.  A minimum level of funding as determined by the Agency based upon availability in both Participating Jurisdictions and Non-Participating Jurisdictions will be required for consideration in this category.  Evidence of said commitments shall include a firm commitment of funding and shall set forth the terms and conditions of said funding.  Points will be awarded as follows:</w:t>
      </w:r>
    </w:p>
    <w:p w:rsidR="00083059" w:rsidRPr="00083059" w:rsidRDefault="00083059" w:rsidP="002B6324">
      <w:pPr>
        <w:pStyle w:val="Header"/>
        <w:widowControl/>
        <w:numPr>
          <w:ilvl w:val="0"/>
          <w:numId w:val="62"/>
        </w:numPr>
        <w:tabs>
          <w:tab w:val="clear" w:pos="4320"/>
          <w:tab w:val="clear" w:pos="8640"/>
        </w:tabs>
        <w:adjustRightInd/>
        <w:spacing w:after="120" w:line="240" w:lineRule="auto"/>
        <w:ind w:left="1500"/>
        <w:textAlignment w:val="auto"/>
        <w:rPr>
          <w:color w:val="FF0000"/>
          <w:sz w:val="22"/>
        </w:rPr>
      </w:pPr>
      <w:r w:rsidRPr="00D2410C">
        <w:rPr>
          <w:color w:val="FF0000"/>
          <w:sz w:val="22"/>
          <w:u w:val="single"/>
        </w:rPr>
        <w:t>Inclusion of Private Capital and Soft Debt Funds</w:t>
      </w:r>
      <w:r w:rsidRPr="00083059">
        <w:rPr>
          <w:color w:val="FF0000"/>
          <w:sz w:val="22"/>
        </w:rPr>
        <w:t xml:space="preserve"> – The Agency may award up to eight (8) points for the inclusion of permanent amortizing debt and soft financing which may include financing </w:t>
      </w:r>
      <w:r w:rsidR="0049091C">
        <w:rPr>
          <w:color w:val="FF0000"/>
          <w:sz w:val="22"/>
        </w:rPr>
        <w:t xml:space="preserve">from </w:t>
      </w:r>
      <w:r w:rsidRPr="00083059">
        <w:rPr>
          <w:color w:val="FF0000"/>
          <w:sz w:val="22"/>
        </w:rPr>
        <w:t xml:space="preserve">state or local programs, nonprofit organizations, </w:t>
      </w:r>
      <w:proofErr w:type="gramStart"/>
      <w:r w:rsidRPr="00083059">
        <w:rPr>
          <w:color w:val="FF0000"/>
          <w:sz w:val="22"/>
        </w:rPr>
        <w:t>private</w:t>
      </w:r>
      <w:proofErr w:type="gramEnd"/>
      <w:r w:rsidR="0049091C">
        <w:rPr>
          <w:color w:val="FF0000"/>
          <w:sz w:val="22"/>
        </w:rPr>
        <w:t xml:space="preserve"> capitol</w:t>
      </w:r>
      <w:r w:rsidRPr="00083059">
        <w:rPr>
          <w:color w:val="FF0000"/>
          <w:sz w:val="22"/>
        </w:rPr>
        <w:t xml:space="preserve">, </w:t>
      </w:r>
      <w:r w:rsidR="00E966FB">
        <w:rPr>
          <w:color w:val="FF0000"/>
          <w:sz w:val="22"/>
        </w:rPr>
        <w:t>and</w:t>
      </w:r>
      <w:r w:rsidRPr="00083059">
        <w:rPr>
          <w:color w:val="FF0000"/>
          <w:sz w:val="22"/>
        </w:rPr>
        <w:t xml:space="preserve"> permanent funding from foundations and/or federal programs. This category includes equity from historic tax credits and land and/or building donation (subject to verification by a current appraisal).  This category does not include a </w:t>
      </w:r>
      <w:proofErr w:type="spellStart"/>
      <w:r w:rsidRPr="00083059">
        <w:rPr>
          <w:color w:val="FF0000"/>
          <w:sz w:val="22"/>
        </w:rPr>
        <w:t>PennHOMES</w:t>
      </w:r>
      <w:proofErr w:type="spellEnd"/>
      <w:r w:rsidRPr="00083059">
        <w:rPr>
          <w:color w:val="FF0000"/>
          <w:sz w:val="22"/>
        </w:rPr>
        <w:t xml:space="preserve"> or PHARE Program request that ha</w:t>
      </w:r>
      <w:r w:rsidR="00E966FB">
        <w:rPr>
          <w:color w:val="FF0000"/>
          <w:sz w:val="22"/>
        </w:rPr>
        <w:t>s</w:t>
      </w:r>
      <w:r w:rsidRPr="00083059">
        <w:rPr>
          <w:color w:val="FF0000"/>
          <w:sz w:val="22"/>
        </w:rPr>
        <w:t xml:space="preserve"> not bee</w:t>
      </w:r>
      <w:r w:rsidR="00823000">
        <w:rPr>
          <w:color w:val="FF0000"/>
          <w:sz w:val="22"/>
        </w:rPr>
        <w:t>n</w:t>
      </w:r>
      <w:r w:rsidRPr="00083059">
        <w:rPr>
          <w:color w:val="FF0000"/>
          <w:sz w:val="22"/>
        </w:rPr>
        <w:t xml:space="preserve"> approved.  Applications with a donation or a reduction in development</w:t>
      </w:r>
      <w:r w:rsidR="00E966FB">
        <w:rPr>
          <w:color w:val="FF0000"/>
          <w:sz w:val="22"/>
        </w:rPr>
        <w:t>-</w:t>
      </w:r>
      <w:r w:rsidRPr="00083059">
        <w:rPr>
          <w:color w:val="FF0000"/>
          <w:sz w:val="22"/>
        </w:rPr>
        <w:t xml:space="preserve">related fees (i.e., tap-in, impact, recreational and/or other development rights by the local government unit/municipality) may also be included.  The reduction must be measurable and based upon an existing fee schedule that applies to all developments. </w:t>
      </w:r>
    </w:p>
    <w:p w:rsidR="00793F44" w:rsidRPr="00083059" w:rsidRDefault="00793F44" w:rsidP="00793F44">
      <w:pPr>
        <w:pStyle w:val="Header"/>
        <w:widowControl/>
        <w:tabs>
          <w:tab w:val="clear" w:pos="4320"/>
          <w:tab w:val="clear" w:pos="8640"/>
        </w:tabs>
        <w:adjustRightInd/>
        <w:spacing w:after="120" w:line="240" w:lineRule="auto"/>
        <w:ind w:left="1440"/>
        <w:textAlignment w:val="auto"/>
        <w:rPr>
          <w:color w:val="FF0000"/>
          <w:sz w:val="22"/>
        </w:rPr>
      </w:pPr>
      <w:r>
        <w:rPr>
          <w:color w:val="FF0000"/>
          <w:sz w:val="22"/>
        </w:rPr>
        <w:t xml:space="preserve"> </w:t>
      </w:r>
      <w:r w:rsidR="00083059" w:rsidRPr="00083059">
        <w:rPr>
          <w:color w:val="FF0000"/>
          <w:sz w:val="22"/>
        </w:rPr>
        <w:t>Comparison will be made between total qualifying soft financing and total development</w:t>
      </w:r>
      <w:r>
        <w:rPr>
          <w:color w:val="FF0000"/>
          <w:sz w:val="22"/>
        </w:rPr>
        <w:br/>
        <w:t xml:space="preserve"> </w:t>
      </w:r>
      <w:r w:rsidR="00083059" w:rsidRPr="00083059">
        <w:rPr>
          <w:color w:val="FF0000"/>
          <w:sz w:val="22"/>
        </w:rPr>
        <w:t>costs, with possible points granted as follows:</w:t>
      </w:r>
      <w:r w:rsidRPr="00793F44">
        <w:rPr>
          <w:color w:val="FF0000"/>
          <w:sz w:val="22"/>
        </w:rPr>
        <w:t xml:space="preserve"> </w:t>
      </w:r>
    </w:p>
    <w:p w:rsidR="00083059" w:rsidRDefault="00083059" w:rsidP="00083059">
      <w:pPr>
        <w:pStyle w:val="Header"/>
        <w:tabs>
          <w:tab w:val="clear" w:pos="4320"/>
          <w:tab w:val="clear" w:pos="8640"/>
        </w:tabs>
        <w:spacing w:line="240" w:lineRule="auto"/>
        <w:ind w:left="1080"/>
        <w:rPr>
          <w:color w:val="FF0000"/>
          <w:sz w:val="22"/>
        </w:rPr>
      </w:pPr>
    </w:p>
    <w:tbl>
      <w:tblPr>
        <w:tblpPr w:leftFromText="180" w:rightFromText="180" w:vertAnchor="text" w:tblpXSpec="right" w:tblpY="1"/>
        <w:tblOverlap w:val="never"/>
        <w:tblW w:w="7420" w:type="dxa"/>
        <w:tblLayout w:type="fixed"/>
        <w:tblLook w:val="0000" w:firstRow="0" w:lastRow="0" w:firstColumn="0" w:lastColumn="0" w:noHBand="0" w:noVBand="0"/>
      </w:tblPr>
      <w:tblGrid>
        <w:gridCol w:w="2628"/>
        <w:gridCol w:w="2430"/>
        <w:gridCol w:w="2362"/>
      </w:tblGrid>
      <w:tr w:rsidR="00BC0B77" w:rsidRPr="006049D3" w:rsidTr="00BC0B77">
        <w:trPr>
          <w:trHeight w:val="584"/>
        </w:trPr>
        <w:tc>
          <w:tcPr>
            <w:tcW w:w="2628" w:type="dxa"/>
          </w:tcPr>
          <w:p w:rsidR="00BC0B77" w:rsidRPr="006049D3" w:rsidRDefault="00BC0B77" w:rsidP="00BC0B77">
            <w:pPr>
              <w:pStyle w:val="Header"/>
              <w:tabs>
                <w:tab w:val="clear" w:pos="4320"/>
                <w:tab w:val="clear" w:pos="8640"/>
              </w:tabs>
              <w:spacing w:line="240" w:lineRule="auto"/>
              <w:ind w:left="-360"/>
              <w:jc w:val="center"/>
              <w:rPr>
                <w:b/>
                <w:color w:val="FF0000"/>
                <w:sz w:val="22"/>
              </w:rPr>
            </w:pPr>
            <w:r w:rsidRPr="006049D3">
              <w:rPr>
                <w:b/>
                <w:color w:val="FF0000"/>
                <w:sz w:val="22"/>
              </w:rPr>
              <w:t>Participating</w:t>
            </w:r>
          </w:p>
          <w:p w:rsidR="00BC0B77" w:rsidRPr="006049D3" w:rsidRDefault="00BC0B77" w:rsidP="00BC0B77">
            <w:pPr>
              <w:pStyle w:val="Header"/>
              <w:tabs>
                <w:tab w:val="clear" w:pos="4320"/>
                <w:tab w:val="clear" w:pos="8640"/>
              </w:tabs>
              <w:spacing w:line="240" w:lineRule="auto"/>
              <w:ind w:left="-360"/>
              <w:jc w:val="center"/>
              <w:rPr>
                <w:b/>
                <w:color w:val="FF0000"/>
                <w:sz w:val="22"/>
              </w:rPr>
            </w:pPr>
            <w:r w:rsidRPr="006049D3">
              <w:rPr>
                <w:b/>
                <w:color w:val="FF0000"/>
                <w:sz w:val="22"/>
              </w:rPr>
              <w:t>Jurisdiction</w:t>
            </w:r>
          </w:p>
          <w:p w:rsidR="00BC0B77" w:rsidRPr="00D2410C" w:rsidRDefault="00BC0B77" w:rsidP="00BC0B77">
            <w:pPr>
              <w:pStyle w:val="Header"/>
              <w:tabs>
                <w:tab w:val="clear" w:pos="4320"/>
                <w:tab w:val="clear" w:pos="8640"/>
              </w:tabs>
              <w:spacing w:line="240" w:lineRule="auto"/>
              <w:ind w:left="-360"/>
              <w:jc w:val="center"/>
              <w:rPr>
                <w:b/>
                <w:color w:val="FF0000"/>
                <w:sz w:val="22"/>
                <w:u w:val="single"/>
              </w:rPr>
            </w:pPr>
            <w:r w:rsidRPr="00D2410C">
              <w:rPr>
                <w:b/>
                <w:color w:val="FF0000"/>
                <w:sz w:val="22"/>
                <w:u w:val="single"/>
              </w:rPr>
              <w:t>Percentage</w:t>
            </w:r>
          </w:p>
        </w:tc>
        <w:tc>
          <w:tcPr>
            <w:tcW w:w="2430" w:type="dxa"/>
          </w:tcPr>
          <w:p w:rsidR="00BC0B77" w:rsidRDefault="00BC0B77" w:rsidP="00BC0B77">
            <w:pPr>
              <w:pStyle w:val="Header"/>
              <w:tabs>
                <w:tab w:val="clear" w:pos="4320"/>
                <w:tab w:val="clear" w:pos="8640"/>
              </w:tabs>
              <w:spacing w:line="240" w:lineRule="auto"/>
              <w:ind w:left="-360" w:right="-137"/>
              <w:jc w:val="center"/>
              <w:rPr>
                <w:b/>
                <w:color w:val="FF0000"/>
                <w:sz w:val="22"/>
              </w:rPr>
            </w:pPr>
            <w:r w:rsidRPr="006049D3">
              <w:rPr>
                <w:b/>
                <w:color w:val="FF0000"/>
                <w:sz w:val="22"/>
              </w:rPr>
              <w:t>Nonparticipating</w:t>
            </w:r>
          </w:p>
          <w:p w:rsidR="00BC0B77" w:rsidRDefault="00BC0B77" w:rsidP="00BC0B77">
            <w:pPr>
              <w:pStyle w:val="Header"/>
              <w:tabs>
                <w:tab w:val="clear" w:pos="4320"/>
                <w:tab w:val="clear" w:pos="8640"/>
              </w:tabs>
              <w:spacing w:line="240" w:lineRule="auto"/>
              <w:ind w:left="-360" w:right="-137"/>
              <w:jc w:val="center"/>
              <w:rPr>
                <w:b/>
                <w:color w:val="FF0000"/>
                <w:sz w:val="22"/>
              </w:rPr>
            </w:pPr>
            <w:r w:rsidRPr="006049D3">
              <w:rPr>
                <w:b/>
                <w:color w:val="FF0000"/>
                <w:sz w:val="22"/>
              </w:rPr>
              <w:t>Jurisdiction</w:t>
            </w:r>
          </w:p>
          <w:p w:rsidR="00BC0B77" w:rsidRPr="00D2410C" w:rsidRDefault="00BC0B77" w:rsidP="00BC0B77">
            <w:pPr>
              <w:pStyle w:val="Header"/>
              <w:tabs>
                <w:tab w:val="clear" w:pos="4320"/>
                <w:tab w:val="clear" w:pos="8640"/>
              </w:tabs>
              <w:spacing w:line="240" w:lineRule="auto"/>
              <w:ind w:left="-360" w:right="-137"/>
              <w:jc w:val="center"/>
              <w:rPr>
                <w:b/>
                <w:color w:val="FF0000"/>
                <w:sz w:val="22"/>
                <w:u w:val="single"/>
              </w:rPr>
            </w:pPr>
            <w:r w:rsidRPr="00D2410C">
              <w:rPr>
                <w:b/>
                <w:color w:val="FF0000"/>
                <w:sz w:val="22"/>
                <w:u w:val="single"/>
              </w:rPr>
              <w:t>Percentage</w:t>
            </w:r>
          </w:p>
        </w:tc>
        <w:tc>
          <w:tcPr>
            <w:tcW w:w="2362" w:type="dxa"/>
          </w:tcPr>
          <w:p w:rsidR="00BC0B77" w:rsidRDefault="00BC0B77" w:rsidP="00BC0B77">
            <w:pPr>
              <w:pStyle w:val="Header"/>
              <w:tabs>
                <w:tab w:val="clear" w:pos="4320"/>
                <w:tab w:val="clear" w:pos="8640"/>
              </w:tabs>
              <w:spacing w:line="240" w:lineRule="auto"/>
              <w:ind w:left="-360"/>
              <w:jc w:val="center"/>
              <w:rPr>
                <w:b/>
                <w:color w:val="FF0000"/>
                <w:sz w:val="22"/>
                <w:u w:val="single"/>
              </w:rPr>
            </w:pPr>
          </w:p>
          <w:p w:rsidR="00BC0B77" w:rsidRDefault="00BC0B77" w:rsidP="00BC0B77">
            <w:pPr>
              <w:pStyle w:val="Header"/>
              <w:tabs>
                <w:tab w:val="clear" w:pos="4320"/>
                <w:tab w:val="clear" w:pos="8640"/>
              </w:tabs>
              <w:spacing w:line="240" w:lineRule="auto"/>
              <w:ind w:left="-360"/>
              <w:jc w:val="center"/>
              <w:rPr>
                <w:b/>
                <w:color w:val="FF0000"/>
                <w:sz w:val="22"/>
                <w:u w:val="single"/>
              </w:rPr>
            </w:pPr>
          </w:p>
          <w:p w:rsidR="00BC0B77" w:rsidRPr="00D2410C" w:rsidRDefault="00BC0B77" w:rsidP="00BC0B77">
            <w:pPr>
              <w:pStyle w:val="Header"/>
              <w:tabs>
                <w:tab w:val="clear" w:pos="4320"/>
                <w:tab w:val="clear" w:pos="8640"/>
              </w:tabs>
              <w:spacing w:line="240" w:lineRule="auto"/>
              <w:ind w:left="-360"/>
              <w:jc w:val="center"/>
              <w:rPr>
                <w:b/>
                <w:color w:val="FF0000"/>
                <w:sz w:val="22"/>
                <w:u w:val="single"/>
              </w:rPr>
            </w:pPr>
            <w:r w:rsidRPr="00D2410C">
              <w:rPr>
                <w:b/>
                <w:color w:val="FF0000"/>
                <w:sz w:val="22"/>
                <w:u w:val="single"/>
              </w:rPr>
              <w:t>Points</w:t>
            </w:r>
          </w:p>
        </w:tc>
      </w:tr>
      <w:tr w:rsidR="00BC0B77" w:rsidRPr="006049D3" w:rsidTr="00BC0B77">
        <w:trPr>
          <w:trHeight w:val="267"/>
        </w:trPr>
        <w:tc>
          <w:tcPr>
            <w:tcW w:w="2628"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5-10%</w:t>
            </w:r>
          </w:p>
        </w:tc>
        <w:tc>
          <w:tcPr>
            <w:tcW w:w="2430"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2-5%</w:t>
            </w:r>
          </w:p>
        </w:tc>
        <w:tc>
          <w:tcPr>
            <w:tcW w:w="2362"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2</w:t>
            </w:r>
          </w:p>
        </w:tc>
      </w:tr>
      <w:tr w:rsidR="00BC0B77" w:rsidRPr="006049D3" w:rsidTr="00BC0B77">
        <w:trPr>
          <w:trHeight w:val="267"/>
        </w:trPr>
        <w:tc>
          <w:tcPr>
            <w:tcW w:w="2628"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&gt;10-20%</w:t>
            </w:r>
          </w:p>
        </w:tc>
        <w:tc>
          <w:tcPr>
            <w:tcW w:w="2430"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&gt;5-10%</w:t>
            </w:r>
          </w:p>
        </w:tc>
        <w:tc>
          <w:tcPr>
            <w:tcW w:w="2362"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4</w:t>
            </w:r>
          </w:p>
        </w:tc>
      </w:tr>
      <w:tr w:rsidR="00BC0B77" w:rsidRPr="006049D3" w:rsidTr="00BC0B77">
        <w:trPr>
          <w:trHeight w:val="274"/>
        </w:trPr>
        <w:tc>
          <w:tcPr>
            <w:tcW w:w="2628"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&gt;20-30%</w:t>
            </w:r>
          </w:p>
        </w:tc>
        <w:tc>
          <w:tcPr>
            <w:tcW w:w="2430"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&gt;10-15%</w:t>
            </w:r>
          </w:p>
        </w:tc>
        <w:tc>
          <w:tcPr>
            <w:tcW w:w="2362"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6</w:t>
            </w:r>
          </w:p>
        </w:tc>
      </w:tr>
      <w:tr w:rsidR="00BC0B77" w:rsidRPr="006049D3" w:rsidTr="00BC0B77">
        <w:trPr>
          <w:trHeight w:val="267"/>
        </w:trPr>
        <w:tc>
          <w:tcPr>
            <w:tcW w:w="2628"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&gt;30%</w:t>
            </w:r>
          </w:p>
        </w:tc>
        <w:tc>
          <w:tcPr>
            <w:tcW w:w="2430"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&gt;20%</w:t>
            </w:r>
          </w:p>
        </w:tc>
        <w:tc>
          <w:tcPr>
            <w:tcW w:w="2362" w:type="dxa"/>
          </w:tcPr>
          <w:p w:rsidR="00BC0B77" w:rsidRPr="006049D3" w:rsidRDefault="00BC0B77" w:rsidP="00BC0B77">
            <w:pPr>
              <w:pStyle w:val="Header"/>
              <w:tabs>
                <w:tab w:val="clear" w:pos="4320"/>
                <w:tab w:val="clear" w:pos="8640"/>
              </w:tabs>
              <w:spacing w:line="240" w:lineRule="auto"/>
              <w:ind w:left="-360"/>
              <w:jc w:val="center"/>
              <w:rPr>
                <w:color w:val="FF0000"/>
                <w:sz w:val="22"/>
              </w:rPr>
            </w:pPr>
            <w:r w:rsidRPr="006049D3">
              <w:rPr>
                <w:color w:val="FF0000"/>
                <w:sz w:val="22"/>
              </w:rPr>
              <w:t>8</w:t>
            </w:r>
          </w:p>
        </w:tc>
      </w:tr>
    </w:tbl>
    <w:p w:rsidR="00083059" w:rsidRDefault="00306C5B" w:rsidP="00083059">
      <w:pPr>
        <w:pStyle w:val="Header"/>
        <w:tabs>
          <w:tab w:val="clear" w:pos="4320"/>
          <w:tab w:val="clear" w:pos="8640"/>
        </w:tabs>
        <w:spacing w:line="240" w:lineRule="auto"/>
        <w:ind w:left="1080"/>
        <w:rPr>
          <w:color w:val="FF0000"/>
          <w:sz w:val="22"/>
        </w:rPr>
      </w:pPr>
      <w:r>
        <w:rPr>
          <w:color w:val="FF0000"/>
          <w:sz w:val="22"/>
        </w:rPr>
        <w:br w:type="textWrapping" w:clear="all"/>
      </w:r>
    </w:p>
    <w:p w:rsidR="00D81C77" w:rsidRDefault="00D81C77">
      <w:pPr>
        <w:widowControl/>
        <w:adjustRightInd/>
        <w:spacing w:line="240" w:lineRule="auto"/>
        <w:jc w:val="left"/>
        <w:textAlignment w:val="auto"/>
        <w:rPr>
          <w:color w:val="FF0000"/>
          <w:sz w:val="22"/>
        </w:rPr>
      </w:pPr>
      <w:r>
        <w:rPr>
          <w:color w:val="FF0000"/>
          <w:sz w:val="22"/>
        </w:rPr>
        <w:br w:type="page"/>
      </w:r>
    </w:p>
    <w:p w:rsidR="00083059" w:rsidRPr="00D2410C" w:rsidRDefault="00083059" w:rsidP="00083059">
      <w:pPr>
        <w:pStyle w:val="Header"/>
        <w:tabs>
          <w:tab w:val="clear" w:pos="4320"/>
          <w:tab w:val="clear" w:pos="8640"/>
        </w:tabs>
        <w:spacing w:line="240" w:lineRule="auto"/>
        <w:ind w:left="1080"/>
        <w:rPr>
          <w:color w:val="FF0000"/>
          <w:sz w:val="22"/>
          <w:u w:val="single"/>
        </w:rPr>
      </w:pPr>
    </w:p>
    <w:p w:rsidR="00083059" w:rsidRDefault="00083059" w:rsidP="002B6324">
      <w:pPr>
        <w:pStyle w:val="Header"/>
        <w:widowControl/>
        <w:numPr>
          <w:ilvl w:val="0"/>
          <w:numId w:val="62"/>
        </w:numPr>
        <w:tabs>
          <w:tab w:val="clear" w:pos="4320"/>
          <w:tab w:val="clear" w:pos="8640"/>
        </w:tabs>
        <w:adjustRightInd/>
        <w:spacing w:after="120" w:line="240" w:lineRule="auto"/>
        <w:ind w:left="1500"/>
        <w:textAlignment w:val="auto"/>
        <w:rPr>
          <w:color w:val="FF0000"/>
          <w:sz w:val="22"/>
        </w:rPr>
      </w:pPr>
      <w:r w:rsidRPr="00D2410C">
        <w:rPr>
          <w:color w:val="FF0000"/>
          <w:sz w:val="22"/>
          <w:u w:val="single"/>
        </w:rPr>
        <w:t>Inclusion of Assumed Debt on Preservation or Related Party Financing</w:t>
      </w:r>
      <w:r w:rsidRPr="002B6324">
        <w:rPr>
          <w:color w:val="FF0000"/>
          <w:sz w:val="22"/>
        </w:rPr>
        <w:t xml:space="preserve"> </w:t>
      </w:r>
      <w:r w:rsidRPr="00083059">
        <w:rPr>
          <w:color w:val="FF0000"/>
          <w:sz w:val="22"/>
        </w:rPr>
        <w:t>– The Agency may award up two (2) points for the existing debt on preservation projects or related party financing on new or substantial rehabilitation projects as follows:</w:t>
      </w:r>
    </w:p>
    <w:p w:rsidR="00083059" w:rsidRPr="00083059" w:rsidRDefault="00083059" w:rsidP="00D81C77">
      <w:pPr>
        <w:pStyle w:val="Header"/>
        <w:widowControl/>
        <w:tabs>
          <w:tab w:val="clear" w:pos="4320"/>
          <w:tab w:val="clear" w:pos="8640"/>
        </w:tabs>
        <w:adjustRightInd/>
        <w:spacing w:before="120" w:after="120" w:line="240" w:lineRule="auto"/>
        <w:ind w:left="2160" w:firstLine="360"/>
        <w:textAlignment w:val="auto"/>
        <w:rPr>
          <w:color w:val="FF0000"/>
          <w:sz w:val="22"/>
        </w:rPr>
      </w:pPr>
      <w:r w:rsidRPr="00D2410C">
        <w:rPr>
          <w:b/>
          <w:color w:val="FF0000"/>
          <w:sz w:val="22"/>
          <w:u w:val="single"/>
        </w:rPr>
        <w:t>Percentage</w:t>
      </w:r>
      <w:r w:rsidR="002B6324">
        <w:rPr>
          <w:color w:val="FF0000"/>
          <w:sz w:val="22"/>
        </w:rPr>
        <w:tab/>
      </w:r>
      <w:r w:rsidR="002B6324">
        <w:rPr>
          <w:color w:val="FF0000"/>
          <w:sz w:val="22"/>
        </w:rPr>
        <w:tab/>
      </w:r>
      <w:r w:rsidR="002B6324">
        <w:rPr>
          <w:color w:val="FF0000"/>
          <w:sz w:val="22"/>
        </w:rPr>
        <w:tab/>
      </w:r>
      <w:r w:rsidR="002B6324">
        <w:rPr>
          <w:color w:val="FF0000"/>
          <w:sz w:val="22"/>
        </w:rPr>
        <w:tab/>
      </w:r>
      <w:r w:rsidR="002B6324">
        <w:rPr>
          <w:color w:val="FF0000"/>
          <w:sz w:val="22"/>
        </w:rPr>
        <w:tab/>
      </w:r>
      <w:r w:rsidR="002B6324">
        <w:rPr>
          <w:color w:val="FF0000"/>
          <w:sz w:val="22"/>
        </w:rPr>
        <w:tab/>
      </w:r>
      <w:r w:rsidR="002B6324">
        <w:rPr>
          <w:color w:val="FF0000"/>
          <w:sz w:val="22"/>
        </w:rPr>
        <w:tab/>
      </w:r>
      <w:r w:rsidRPr="00D2410C">
        <w:rPr>
          <w:b/>
          <w:color w:val="FF0000"/>
          <w:sz w:val="22"/>
          <w:u w:val="single"/>
        </w:rPr>
        <w:t>Points</w:t>
      </w:r>
    </w:p>
    <w:tbl>
      <w:tblPr>
        <w:tblW w:w="7500" w:type="dxa"/>
        <w:tblInd w:w="1708" w:type="dxa"/>
        <w:tblLayout w:type="fixed"/>
        <w:tblLook w:val="0000" w:firstRow="0" w:lastRow="0" w:firstColumn="0" w:lastColumn="0" w:noHBand="0" w:noVBand="0"/>
      </w:tblPr>
      <w:tblGrid>
        <w:gridCol w:w="2300"/>
        <w:gridCol w:w="900"/>
        <w:gridCol w:w="4300"/>
      </w:tblGrid>
      <w:tr w:rsidR="000A5987" w:rsidRPr="008B361E" w:rsidTr="00D81C77">
        <w:trPr>
          <w:trHeight w:val="113"/>
        </w:trPr>
        <w:tc>
          <w:tcPr>
            <w:tcW w:w="2300" w:type="dxa"/>
          </w:tcPr>
          <w:p w:rsidR="00797FCF" w:rsidRPr="008B361E" w:rsidRDefault="002E2E0C" w:rsidP="00D81C77">
            <w:pPr>
              <w:pStyle w:val="Header"/>
              <w:tabs>
                <w:tab w:val="clear" w:pos="4320"/>
                <w:tab w:val="clear" w:pos="8640"/>
              </w:tabs>
              <w:spacing w:line="240" w:lineRule="auto"/>
              <w:ind w:left="1080"/>
              <w:jc w:val="left"/>
              <w:rPr>
                <w:color w:val="FF0000"/>
                <w:sz w:val="22"/>
              </w:rPr>
            </w:pPr>
            <w:r>
              <w:rPr>
                <w:color w:val="FF0000"/>
                <w:sz w:val="22"/>
              </w:rPr>
              <w:t>≥</w:t>
            </w:r>
            <w:r w:rsidR="00083059" w:rsidRPr="00083059">
              <w:rPr>
                <w:color w:val="FF0000"/>
                <w:sz w:val="22"/>
              </w:rPr>
              <w:t>10-30%</w:t>
            </w:r>
          </w:p>
        </w:tc>
        <w:tc>
          <w:tcPr>
            <w:tcW w:w="900" w:type="dxa"/>
          </w:tcPr>
          <w:p w:rsidR="000A5987" w:rsidRPr="008B361E" w:rsidRDefault="000A5987" w:rsidP="00D81C77">
            <w:pPr>
              <w:pStyle w:val="Header"/>
              <w:tabs>
                <w:tab w:val="clear" w:pos="4320"/>
                <w:tab w:val="clear" w:pos="8640"/>
              </w:tabs>
              <w:spacing w:line="240" w:lineRule="auto"/>
              <w:ind w:left="1080"/>
              <w:jc w:val="left"/>
              <w:rPr>
                <w:color w:val="FF0000"/>
                <w:sz w:val="22"/>
              </w:rPr>
            </w:pPr>
          </w:p>
        </w:tc>
        <w:tc>
          <w:tcPr>
            <w:tcW w:w="4300" w:type="dxa"/>
          </w:tcPr>
          <w:p w:rsidR="000A5987" w:rsidRPr="008B361E" w:rsidRDefault="00083059" w:rsidP="00D81C77">
            <w:pPr>
              <w:pStyle w:val="Header"/>
              <w:tabs>
                <w:tab w:val="clear" w:pos="4320"/>
                <w:tab w:val="clear" w:pos="8640"/>
              </w:tabs>
              <w:spacing w:line="240" w:lineRule="auto"/>
              <w:ind w:left="1080"/>
              <w:jc w:val="left"/>
              <w:rPr>
                <w:color w:val="FF0000"/>
                <w:sz w:val="22"/>
              </w:rPr>
            </w:pPr>
            <w:r w:rsidRPr="00083059">
              <w:rPr>
                <w:color w:val="FF0000"/>
                <w:sz w:val="22"/>
              </w:rPr>
              <w:t>1</w:t>
            </w:r>
          </w:p>
        </w:tc>
      </w:tr>
      <w:tr w:rsidR="000A5987" w:rsidRPr="008B361E" w:rsidTr="00D81C77">
        <w:trPr>
          <w:trHeight w:val="113"/>
        </w:trPr>
        <w:tc>
          <w:tcPr>
            <w:tcW w:w="2300" w:type="dxa"/>
          </w:tcPr>
          <w:p w:rsidR="00797FCF" w:rsidRPr="008B361E" w:rsidRDefault="00083059" w:rsidP="00D81C77">
            <w:pPr>
              <w:pStyle w:val="Header"/>
              <w:tabs>
                <w:tab w:val="clear" w:pos="4320"/>
                <w:tab w:val="clear" w:pos="8640"/>
              </w:tabs>
              <w:spacing w:line="240" w:lineRule="auto"/>
              <w:ind w:left="1080"/>
              <w:jc w:val="left"/>
              <w:rPr>
                <w:color w:val="FF0000"/>
                <w:sz w:val="22"/>
              </w:rPr>
            </w:pPr>
            <w:r w:rsidRPr="00083059">
              <w:rPr>
                <w:color w:val="FF0000"/>
                <w:sz w:val="22"/>
              </w:rPr>
              <w:t>&gt;30%</w:t>
            </w:r>
          </w:p>
        </w:tc>
        <w:tc>
          <w:tcPr>
            <w:tcW w:w="900" w:type="dxa"/>
          </w:tcPr>
          <w:p w:rsidR="000A5987" w:rsidRPr="008B361E" w:rsidRDefault="000A5987" w:rsidP="00D81C77">
            <w:pPr>
              <w:pStyle w:val="Header"/>
              <w:tabs>
                <w:tab w:val="clear" w:pos="4320"/>
                <w:tab w:val="clear" w:pos="8640"/>
              </w:tabs>
              <w:spacing w:line="240" w:lineRule="auto"/>
              <w:ind w:left="1080"/>
              <w:jc w:val="left"/>
              <w:rPr>
                <w:color w:val="FF0000"/>
                <w:sz w:val="22"/>
              </w:rPr>
            </w:pPr>
          </w:p>
        </w:tc>
        <w:tc>
          <w:tcPr>
            <w:tcW w:w="4300" w:type="dxa"/>
          </w:tcPr>
          <w:p w:rsidR="000A5987" w:rsidRPr="008B361E" w:rsidRDefault="00083059" w:rsidP="00D81C77">
            <w:pPr>
              <w:pStyle w:val="Header"/>
              <w:tabs>
                <w:tab w:val="clear" w:pos="4320"/>
                <w:tab w:val="clear" w:pos="8640"/>
              </w:tabs>
              <w:spacing w:line="240" w:lineRule="auto"/>
              <w:ind w:left="1080"/>
              <w:jc w:val="left"/>
              <w:rPr>
                <w:color w:val="FF0000"/>
                <w:sz w:val="22"/>
              </w:rPr>
            </w:pPr>
            <w:r w:rsidRPr="00083059">
              <w:rPr>
                <w:color w:val="FF0000"/>
                <w:sz w:val="22"/>
              </w:rPr>
              <w:t>2</w:t>
            </w:r>
          </w:p>
        </w:tc>
      </w:tr>
    </w:tbl>
    <w:p w:rsidR="00D81C77" w:rsidRDefault="00D81C77" w:rsidP="00D81C77">
      <w:pPr>
        <w:pStyle w:val="Header"/>
        <w:widowControl/>
        <w:tabs>
          <w:tab w:val="clear" w:pos="4320"/>
          <w:tab w:val="clear" w:pos="8640"/>
        </w:tabs>
        <w:adjustRightInd/>
        <w:spacing w:after="120" w:line="240" w:lineRule="auto"/>
        <w:ind w:left="1140"/>
        <w:textAlignment w:val="auto"/>
        <w:rPr>
          <w:color w:val="FF0000"/>
          <w:sz w:val="22"/>
        </w:rPr>
      </w:pPr>
    </w:p>
    <w:p w:rsidR="00083059" w:rsidRPr="00083059" w:rsidRDefault="00083059" w:rsidP="002B6324">
      <w:pPr>
        <w:pStyle w:val="Header"/>
        <w:widowControl/>
        <w:numPr>
          <w:ilvl w:val="0"/>
          <w:numId w:val="62"/>
        </w:numPr>
        <w:tabs>
          <w:tab w:val="clear" w:pos="4320"/>
          <w:tab w:val="clear" w:pos="8640"/>
        </w:tabs>
        <w:adjustRightInd/>
        <w:spacing w:after="120" w:line="240" w:lineRule="auto"/>
        <w:ind w:left="1500"/>
        <w:textAlignment w:val="auto"/>
        <w:rPr>
          <w:color w:val="FF0000"/>
          <w:sz w:val="22"/>
        </w:rPr>
      </w:pPr>
      <w:r w:rsidRPr="00D2410C">
        <w:rPr>
          <w:color w:val="FF0000"/>
          <w:sz w:val="22"/>
          <w:u w:val="single"/>
        </w:rPr>
        <w:t>Inclusion of Project Based Unit Subsidy</w:t>
      </w:r>
      <w:r w:rsidRPr="00083059">
        <w:rPr>
          <w:color w:val="FF0000"/>
          <w:sz w:val="22"/>
        </w:rPr>
        <w:t xml:space="preserve"> – The Agency may award up to two (2) points for the inclusion of Project Based Section 8 assistance or ACC subsidy for at least fifty percent (50%) of the units in the development.</w:t>
      </w:r>
    </w:p>
    <w:p w:rsidR="00083059" w:rsidRPr="00083059" w:rsidRDefault="00083059" w:rsidP="00083059">
      <w:pPr>
        <w:pStyle w:val="Header"/>
        <w:widowControl/>
        <w:tabs>
          <w:tab w:val="clear" w:pos="4320"/>
          <w:tab w:val="clear" w:pos="8640"/>
        </w:tabs>
        <w:adjustRightInd/>
        <w:spacing w:before="120" w:after="120" w:line="240" w:lineRule="auto"/>
        <w:ind w:left="1080"/>
        <w:textAlignment w:val="auto"/>
        <w:rPr>
          <w:color w:val="FF0000"/>
          <w:sz w:val="22"/>
          <w:u w:val="single"/>
        </w:rPr>
      </w:pPr>
    </w:p>
    <w:p w:rsidR="00083059" w:rsidRPr="00083059" w:rsidRDefault="00083059" w:rsidP="002B6324">
      <w:pPr>
        <w:pStyle w:val="Header"/>
        <w:widowControl/>
        <w:numPr>
          <w:ilvl w:val="0"/>
          <w:numId w:val="62"/>
        </w:numPr>
        <w:tabs>
          <w:tab w:val="clear" w:pos="4320"/>
          <w:tab w:val="clear" w:pos="8640"/>
        </w:tabs>
        <w:adjustRightInd/>
        <w:spacing w:after="120" w:line="240" w:lineRule="auto"/>
        <w:ind w:left="1500"/>
        <w:textAlignment w:val="auto"/>
        <w:rPr>
          <w:color w:val="FF0000"/>
          <w:sz w:val="22"/>
        </w:rPr>
      </w:pPr>
      <w:r w:rsidRPr="00D2410C">
        <w:rPr>
          <w:color w:val="FF0000"/>
          <w:sz w:val="22"/>
          <w:u w:val="single"/>
        </w:rPr>
        <w:t>Evidence of Tax Abatement</w:t>
      </w:r>
      <w:r w:rsidRPr="002B6324">
        <w:rPr>
          <w:color w:val="FF0000"/>
          <w:sz w:val="22"/>
        </w:rPr>
        <w:t xml:space="preserve"> – </w:t>
      </w:r>
      <w:r w:rsidRPr="00083059">
        <w:rPr>
          <w:color w:val="FF0000"/>
          <w:sz w:val="22"/>
        </w:rPr>
        <w:t xml:space="preserve">The Agency may award up to one (1) point for developments that provide evidence of receipt of </w:t>
      </w:r>
      <w:proofErr w:type="gramStart"/>
      <w:r w:rsidRPr="00083059">
        <w:rPr>
          <w:color w:val="FF0000"/>
          <w:sz w:val="22"/>
        </w:rPr>
        <w:t>a real</w:t>
      </w:r>
      <w:proofErr w:type="gramEnd"/>
      <w:r w:rsidRPr="00083059">
        <w:rPr>
          <w:color w:val="FF0000"/>
          <w:sz w:val="22"/>
        </w:rPr>
        <w:t xml:space="preserve"> estate tax abatement from the municipal taxing authority.</w:t>
      </w:r>
    </w:p>
    <w:p w:rsidR="00083059" w:rsidRDefault="00083059" w:rsidP="00083059">
      <w:pPr>
        <w:pStyle w:val="Header"/>
        <w:widowControl/>
        <w:tabs>
          <w:tab w:val="clear" w:pos="4320"/>
          <w:tab w:val="clear" w:pos="8640"/>
        </w:tabs>
        <w:adjustRightInd/>
        <w:spacing w:before="120" w:after="120" w:line="240" w:lineRule="auto"/>
        <w:textAlignment w:val="auto"/>
        <w:rPr>
          <w:sz w:val="22"/>
          <w:u w:val="single"/>
        </w:rPr>
      </w:pPr>
    </w:p>
    <w:p w:rsidR="00CE0F08" w:rsidRPr="00411B94" w:rsidRDefault="001E4B16" w:rsidP="00195F80">
      <w:pPr>
        <w:pStyle w:val="Header"/>
        <w:spacing w:after="240" w:line="240" w:lineRule="auto"/>
        <w:rPr>
          <w:b/>
          <w:sz w:val="22"/>
          <w:szCs w:val="22"/>
        </w:rPr>
      </w:pPr>
      <w:r w:rsidRPr="00411B94">
        <w:rPr>
          <w:b/>
          <w:sz w:val="22"/>
          <w:szCs w:val="22"/>
        </w:rPr>
        <w:t xml:space="preserve">E.  </w:t>
      </w:r>
      <w:r w:rsidR="00CE0F08" w:rsidRPr="00411B94">
        <w:rPr>
          <w:b/>
          <w:sz w:val="22"/>
          <w:szCs w:val="22"/>
        </w:rPr>
        <w:t xml:space="preserve">Development Cost Savings  </w:t>
      </w:r>
      <w:r w:rsidRPr="00411B94">
        <w:rPr>
          <w:b/>
          <w:sz w:val="22"/>
          <w:szCs w:val="22"/>
        </w:rPr>
        <w:tab/>
      </w:r>
      <w:r w:rsidRPr="00411B94">
        <w:rPr>
          <w:b/>
          <w:sz w:val="22"/>
          <w:szCs w:val="22"/>
        </w:rPr>
        <w:tab/>
      </w:r>
      <w:r w:rsidRPr="00411B94">
        <w:rPr>
          <w:i/>
          <w:sz w:val="22"/>
          <w:szCs w:val="22"/>
        </w:rPr>
        <w:t>10 points</w:t>
      </w:r>
    </w:p>
    <w:p w:rsidR="0003196A" w:rsidRPr="00411B94" w:rsidRDefault="00135D18" w:rsidP="004B4514">
      <w:pPr>
        <w:pStyle w:val="Header"/>
        <w:spacing w:after="240" w:line="240" w:lineRule="auto"/>
        <w:ind w:left="720" w:hanging="630"/>
        <w:rPr>
          <w:sz w:val="22"/>
          <w:szCs w:val="22"/>
        </w:rPr>
      </w:pPr>
      <w:r w:rsidRPr="00411B94">
        <w:rPr>
          <w:sz w:val="22"/>
          <w:szCs w:val="22"/>
        </w:rPr>
        <w:tab/>
      </w:r>
      <w:r w:rsidR="009623C5" w:rsidRPr="00411B94">
        <w:rPr>
          <w:sz w:val="22"/>
          <w:szCs w:val="22"/>
        </w:rPr>
        <w:t xml:space="preserve">The Agency may award up to </w:t>
      </w:r>
      <w:r w:rsidR="003C3741">
        <w:rPr>
          <w:sz w:val="22"/>
          <w:szCs w:val="22"/>
        </w:rPr>
        <w:t>ten (</w:t>
      </w:r>
      <w:r w:rsidR="009623C5" w:rsidRPr="00411B94">
        <w:rPr>
          <w:sz w:val="22"/>
          <w:szCs w:val="22"/>
        </w:rPr>
        <w:t>10</w:t>
      </w:r>
      <w:r w:rsidR="003C3741">
        <w:rPr>
          <w:sz w:val="22"/>
          <w:szCs w:val="22"/>
        </w:rPr>
        <w:t>)</w:t>
      </w:r>
      <w:r w:rsidR="009623C5" w:rsidRPr="00411B94">
        <w:rPr>
          <w:sz w:val="22"/>
          <w:szCs w:val="22"/>
        </w:rPr>
        <w:t xml:space="preserve"> points to Applications which demonstrate costs less than the median total </w:t>
      </w:r>
      <w:r w:rsidR="00DB32B5" w:rsidRPr="00411B94">
        <w:rPr>
          <w:sz w:val="22"/>
          <w:szCs w:val="22"/>
        </w:rPr>
        <w:t>developmen</w:t>
      </w:r>
      <w:r w:rsidR="009623C5" w:rsidRPr="00411B94">
        <w:rPr>
          <w:sz w:val="22"/>
          <w:szCs w:val="22"/>
        </w:rPr>
        <w:t xml:space="preserve">t costs of the total </w:t>
      </w:r>
      <w:r w:rsidR="002D1116" w:rsidRPr="00411B94">
        <w:rPr>
          <w:sz w:val="22"/>
          <w:szCs w:val="22"/>
        </w:rPr>
        <w:t>Application</w:t>
      </w:r>
      <w:r w:rsidR="009623C5" w:rsidRPr="00411B94">
        <w:rPr>
          <w:sz w:val="22"/>
          <w:szCs w:val="22"/>
        </w:rPr>
        <w:t xml:space="preserve">s submitted.  </w:t>
      </w:r>
      <w:r w:rsidR="00E41FCC" w:rsidRPr="00411B94">
        <w:rPr>
          <w:sz w:val="22"/>
          <w:szCs w:val="22"/>
        </w:rPr>
        <w:t>T</w:t>
      </w:r>
      <w:r w:rsidR="009623C5" w:rsidRPr="00411B94">
        <w:rPr>
          <w:sz w:val="22"/>
          <w:szCs w:val="22"/>
        </w:rPr>
        <w:t xml:space="preserve">he Agency will determine the median total </w:t>
      </w:r>
      <w:r w:rsidR="000E303F" w:rsidRPr="00411B94">
        <w:rPr>
          <w:sz w:val="22"/>
          <w:szCs w:val="22"/>
        </w:rPr>
        <w:t>development cost per square foot</w:t>
      </w:r>
      <w:r w:rsidR="009623C5" w:rsidRPr="00411B94">
        <w:rPr>
          <w:sz w:val="22"/>
          <w:szCs w:val="22"/>
        </w:rPr>
        <w:t xml:space="preserve"> </w:t>
      </w:r>
      <w:r w:rsidR="00C82129" w:rsidRPr="00411B94">
        <w:rPr>
          <w:sz w:val="22"/>
          <w:szCs w:val="22"/>
        </w:rPr>
        <w:t>(less the cost of acquisition</w:t>
      </w:r>
      <w:r w:rsidR="00AF15C8" w:rsidRPr="00411B94">
        <w:rPr>
          <w:sz w:val="22"/>
          <w:szCs w:val="22"/>
        </w:rPr>
        <w:t>, reserves and commercial space</w:t>
      </w:r>
      <w:r w:rsidR="00C82129" w:rsidRPr="00411B94">
        <w:rPr>
          <w:sz w:val="22"/>
          <w:szCs w:val="22"/>
        </w:rPr>
        <w:t xml:space="preserve">) </w:t>
      </w:r>
      <w:r w:rsidR="009623C5" w:rsidRPr="00411B94">
        <w:rPr>
          <w:sz w:val="22"/>
          <w:szCs w:val="22"/>
        </w:rPr>
        <w:t>and will award points based on certain ranges as state</w:t>
      </w:r>
      <w:r w:rsidR="001262F1" w:rsidRPr="00411B94">
        <w:rPr>
          <w:sz w:val="22"/>
          <w:szCs w:val="22"/>
        </w:rPr>
        <w:t>d</w:t>
      </w:r>
      <w:r w:rsidR="009623C5" w:rsidRPr="00411B94">
        <w:rPr>
          <w:sz w:val="22"/>
          <w:szCs w:val="22"/>
        </w:rPr>
        <w:t xml:space="preserve"> below.  Preservation </w:t>
      </w:r>
      <w:r w:rsidR="00681BCA" w:rsidRPr="00411B94">
        <w:rPr>
          <w:sz w:val="22"/>
          <w:szCs w:val="22"/>
        </w:rPr>
        <w:t>Application</w:t>
      </w:r>
      <w:r w:rsidR="009623C5" w:rsidRPr="00411B94">
        <w:rPr>
          <w:sz w:val="22"/>
          <w:szCs w:val="22"/>
        </w:rPr>
        <w:t xml:space="preserve">s and those located in Philadelphia will not be included when determining the median costs in a cycle.  The Agency will award points </w:t>
      </w:r>
      <w:r w:rsidR="001262F1" w:rsidRPr="00411B94">
        <w:rPr>
          <w:sz w:val="22"/>
          <w:szCs w:val="22"/>
        </w:rPr>
        <w:t xml:space="preserve">to </w:t>
      </w:r>
      <w:r w:rsidR="009623C5" w:rsidRPr="00411B94">
        <w:rPr>
          <w:sz w:val="22"/>
          <w:szCs w:val="22"/>
        </w:rPr>
        <w:t xml:space="preserve">Preservation and Philadelphia </w:t>
      </w:r>
      <w:r w:rsidR="00681BCA" w:rsidRPr="00411B94">
        <w:rPr>
          <w:sz w:val="22"/>
          <w:szCs w:val="22"/>
        </w:rPr>
        <w:t>Applications</w:t>
      </w:r>
      <w:r w:rsidR="009623C5" w:rsidRPr="00411B94">
        <w:rPr>
          <w:sz w:val="22"/>
          <w:szCs w:val="22"/>
        </w:rPr>
        <w:t xml:space="preserve"> as they compare against each other.</w:t>
      </w:r>
      <w:r w:rsidR="001B4680" w:rsidRPr="00411B94">
        <w:rPr>
          <w:sz w:val="22"/>
          <w:szCs w:val="22"/>
        </w:rPr>
        <w:t xml:space="preserve">  For all other developments, the Agency will award points based upon the construction type: single family/townhouse, </w:t>
      </w:r>
      <w:r w:rsidR="00340482" w:rsidRPr="00411B94">
        <w:rPr>
          <w:sz w:val="22"/>
          <w:szCs w:val="22"/>
        </w:rPr>
        <w:t xml:space="preserve">multi-story multifamily buildings, </w:t>
      </w:r>
      <w:r w:rsidR="00E350E0" w:rsidRPr="00411B94">
        <w:rPr>
          <w:sz w:val="22"/>
          <w:szCs w:val="22"/>
        </w:rPr>
        <w:t>and adaptive re-use building</w:t>
      </w:r>
      <w:r w:rsidR="00B97927" w:rsidRPr="00411B94">
        <w:rPr>
          <w:sz w:val="22"/>
          <w:szCs w:val="22"/>
        </w:rPr>
        <w:t>s</w:t>
      </w:r>
      <w:r w:rsidR="00E350E0" w:rsidRPr="00411B94">
        <w:rPr>
          <w:sz w:val="22"/>
          <w:szCs w:val="22"/>
        </w:rPr>
        <w:t xml:space="preserve"> as they compare against each other.</w:t>
      </w:r>
      <w:r w:rsidR="009623C5" w:rsidRPr="00411B94">
        <w:rPr>
          <w:sz w:val="22"/>
          <w:szCs w:val="22"/>
        </w:rPr>
        <w:t xml:space="preserve">  In addition to submission of certifications that the building as designed and as constructed will meet/meets all labor and material standards set forth in applicable local or statewide codes (without sacrificing unit size and other building amenities), the Agency reserves the right to require additional certifications from local officials or building design professionals prior to the issuance of an </w:t>
      </w:r>
      <w:smartTag w:uri="urn:schemas-microsoft-com:office:smarttags" w:element="stockticker">
        <w:r w:rsidR="009623C5" w:rsidRPr="00411B94">
          <w:rPr>
            <w:sz w:val="22"/>
            <w:szCs w:val="22"/>
          </w:rPr>
          <w:t>IRS</w:t>
        </w:r>
      </w:smartTag>
      <w:r w:rsidR="009623C5" w:rsidRPr="00411B94">
        <w:rPr>
          <w:sz w:val="22"/>
          <w:szCs w:val="22"/>
        </w:rPr>
        <w:t xml:space="preserve"> Form 8609 for the building or to conduct its own site visits during construction to ensure that the quality of construction is </w:t>
      </w:r>
      <w:r w:rsidR="00195F80">
        <w:rPr>
          <w:sz w:val="22"/>
          <w:szCs w:val="22"/>
        </w:rPr>
        <w:t>not compromised by cost savings.</w:t>
      </w:r>
    </w:p>
    <w:tbl>
      <w:tblPr>
        <w:tblW w:w="0" w:type="auto"/>
        <w:jc w:val="center"/>
        <w:tblLayout w:type="fixed"/>
        <w:tblLook w:val="0000" w:firstRow="0" w:lastRow="0" w:firstColumn="0" w:lastColumn="0" w:noHBand="0" w:noVBand="0"/>
      </w:tblPr>
      <w:tblGrid>
        <w:gridCol w:w="2520"/>
        <w:gridCol w:w="540"/>
        <w:gridCol w:w="1710"/>
      </w:tblGrid>
      <w:tr w:rsidR="002B39B7" w:rsidRPr="00411B94" w:rsidTr="00BE4A73">
        <w:trPr>
          <w:jc w:val="center"/>
        </w:trPr>
        <w:tc>
          <w:tcPr>
            <w:tcW w:w="2520" w:type="dxa"/>
          </w:tcPr>
          <w:p w:rsidR="002B39B7" w:rsidRPr="00411B94" w:rsidRDefault="009623C5" w:rsidP="00E94493">
            <w:pPr>
              <w:pStyle w:val="Header"/>
              <w:tabs>
                <w:tab w:val="clear" w:pos="4320"/>
                <w:tab w:val="clear" w:pos="8640"/>
              </w:tabs>
              <w:spacing w:line="240" w:lineRule="auto"/>
              <w:jc w:val="center"/>
              <w:rPr>
                <w:b/>
                <w:sz w:val="22"/>
                <w:szCs w:val="22"/>
              </w:rPr>
            </w:pPr>
            <w:r w:rsidRPr="00411B94">
              <w:rPr>
                <w:b/>
                <w:sz w:val="22"/>
                <w:szCs w:val="22"/>
              </w:rPr>
              <w:t xml:space="preserve">Percentage Below </w:t>
            </w:r>
          </w:p>
          <w:p w:rsidR="002B39B7" w:rsidRPr="00411B94" w:rsidRDefault="009623C5" w:rsidP="0044391B">
            <w:pPr>
              <w:pStyle w:val="Header"/>
              <w:tabs>
                <w:tab w:val="clear" w:pos="4320"/>
                <w:tab w:val="clear" w:pos="8640"/>
              </w:tabs>
              <w:spacing w:line="240" w:lineRule="auto"/>
              <w:jc w:val="center"/>
              <w:rPr>
                <w:b/>
                <w:sz w:val="22"/>
                <w:szCs w:val="22"/>
                <w:u w:val="single"/>
              </w:rPr>
            </w:pPr>
            <w:r w:rsidRPr="00411B94">
              <w:rPr>
                <w:b/>
                <w:sz w:val="22"/>
                <w:szCs w:val="22"/>
              </w:rPr>
              <w:t xml:space="preserve">Median </w:t>
            </w:r>
            <w:r w:rsidR="0044391B" w:rsidRPr="00411B94">
              <w:rPr>
                <w:b/>
                <w:sz w:val="22"/>
                <w:szCs w:val="22"/>
              </w:rPr>
              <w:t>Total</w:t>
            </w:r>
            <w:r w:rsidR="00F36301" w:rsidRPr="00411B94">
              <w:rPr>
                <w:b/>
                <w:sz w:val="22"/>
                <w:szCs w:val="22"/>
              </w:rPr>
              <w:t xml:space="preserve"> </w:t>
            </w:r>
            <w:r w:rsidR="0044391B" w:rsidRPr="00BE4A73">
              <w:rPr>
                <w:b/>
                <w:sz w:val="22"/>
                <w:szCs w:val="22"/>
                <w:u w:val="single"/>
              </w:rPr>
              <w:t xml:space="preserve">Development </w:t>
            </w:r>
            <w:r w:rsidRPr="00BE4A73">
              <w:rPr>
                <w:b/>
                <w:sz w:val="22"/>
                <w:szCs w:val="22"/>
                <w:u w:val="single"/>
              </w:rPr>
              <w:t>Cost</w:t>
            </w:r>
          </w:p>
        </w:tc>
        <w:tc>
          <w:tcPr>
            <w:tcW w:w="540" w:type="dxa"/>
          </w:tcPr>
          <w:p w:rsidR="002B39B7" w:rsidRPr="00411B94" w:rsidRDefault="002B39B7" w:rsidP="00E94493">
            <w:pPr>
              <w:pStyle w:val="Header"/>
              <w:tabs>
                <w:tab w:val="clear" w:pos="4320"/>
                <w:tab w:val="clear" w:pos="8640"/>
              </w:tabs>
              <w:spacing w:line="240" w:lineRule="auto"/>
              <w:jc w:val="center"/>
              <w:rPr>
                <w:b/>
                <w:sz w:val="22"/>
                <w:szCs w:val="22"/>
                <w:u w:val="single"/>
              </w:rPr>
            </w:pPr>
          </w:p>
        </w:tc>
        <w:tc>
          <w:tcPr>
            <w:tcW w:w="1710" w:type="dxa"/>
          </w:tcPr>
          <w:p w:rsidR="002B39B7" w:rsidRPr="00411B94" w:rsidRDefault="002B39B7" w:rsidP="00E94493">
            <w:pPr>
              <w:pStyle w:val="Header"/>
              <w:tabs>
                <w:tab w:val="clear" w:pos="4320"/>
                <w:tab w:val="clear" w:pos="8640"/>
              </w:tabs>
              <w:spacing w:line="240" w:lineRule="auto"/>
              <w:jc w:val="center"/>
              <w:rPr>
                <w:b/>
                <w:sz w:val="22"/>
                <w:szCs w:val="22"/>
                <w:u w:val="single"/>
              </w:rPr>
            </w:pPr>
          </w:p>
          <w:p w:rsidR="00BE4A73" w:rsidRDefault="00BE4A73" w:rsidP="00E94493">
            <w:pPr>
              <w:pStyle w:val="Header"/>
              <w:tabs>
                <w:tab w:val="clear" w:pos="4320"/>
                <w:tab w:val="clear" w:pos="8640"/>
              </w:tabs>
              <w:spacing w:line="240" w:lineRule="auto"/>
              <w:jc w:val="center"/>
              <w:rPr>
                <w:b/>
                <w:sz w:val="22"/>
                <w:szCs w:val="22"/>
              </w:rPr>
            </w:pPr>
          </w:p>
          <w:p w:rsidR="002B39B7" w:rsidRPr="00BE4A73" w:rsidRDefault="009623C5" w:rsidP="00E94493">
            <w:pPr>
              <w:pStyle w:val="Header"/>
              <w:tabs>
                <w:tab w:val="clear" w:pos="4320"/>
                <w:tab w:val="clear" w:pos="8640"/>
              </w:tabs>
              <w:spacing w:line="240" w:lineRule="auto"/>
              <w:jc w:val="center"/>
              <w:rPr>
                <w:b/>
                <w:sz w:val="22"/>
                <w:szCs w:val="22"/>
                <w:u w:val="single"/>
              </w:rPr>
            </w:pPr>
            <w:r w:rsidRPr="00BE4A73">
              <w:rPr>
                <w:b/>
                <w:sz w:val="22"/>
                <w:szCs w:val="22"/>
                <w:u w:val="single"/>
              </w:rPr>
              <w:t>Points</w:t>
            </w:r>
          </w:p>
        </w:tc>
      </w:tr>
      <w:tr w:rsidR="002B39B7" w:rsidRPr="00411B94" w:rsidTr="00BE4A73">
        <w:trPr>
          <w:jc w:val="center"/>
        </w:trPr>
        <w:tc>
          <w:tcPr>
            <w:tcW w:w="2520" w:type="dxa"/>
          </w:tcPr>
          <w:p w:rsidR="00751131" w:rsidRPr="00411B94" w:rsidRDefault="007E4C55">
            <w:pPr>
              <w:pStyle w:val="Header"/>
              <w:tabs>
                <w:tab w:val="clear" w:pos="4320"/>
                <w:tab w:val="clear" w:pos="8640"/>
              </w:tabs>
              <w:spacing w:line="240" w:lineRule="auto"/>
              <w:jc w:val="center"/>
              <w:rPr>
                <w:sz w:val="22"/>
                <w:szCs w:val="22"/>
              </w:rPr>
            </w:pPr>
            <w:r w:rsidRPr="00411B94">
              <w:rPr>
                <w:sz w:val="22"/>
                <w:szCs w:val="22"/>
              </w:rPr>
              <w:t>At least 10%</w:t>
            </w:r>
          </w:p>
        </w:tc>
        <w:tc>
          <w:tcPr>
            <w:tcW w:w="540" w:type="dxa"/>
          </w:tcPr>
          <w:p w:rsidR="002B39B7" w:rsidRPr="00411B94" w:rsidRDefault="002B39B7" w:rsidP="00E94493">
            <w:pPr>
              <w:pStyle w:val="Header"/>
              <w:tabs>
                <w:tab w:val="clear" w:pos="4320"/>
                <w:tab w:val="clear" w:pos="8640"/>
              </w:tabs>
              <w:spacing w:line="240" w:lineRule="auto"/>
              <w:jc w:val="center"/>
              <w:rPr>
                <w:sz w:val="22"/>
                <w:szCs w:val="22"/>
                <w:u w:val="single"/>
              </w:rPr>
            </w:pPr>
          </w:p>
        </w:tc>
        <w:tc>
          <w:tcPr>
            <w:tcW w:w="1710" w:type="dxa"/>
          </w:tcPr>
          <w:p w:rsidR="002B39B7"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5</w:t>
            </w:r>
          </w:p>
        </w:tc>
      </w:tr>
      <w:tr w:rsidR="002F6DFD" w:rsidRPr="00411B94">
        <w:trPr>
          <w:jc w:val="center"/>
        </w:trPr>
        <w:tc>
          <w:tcPr>
            <w:tcW w:w="2520" w:type="dxa"/>
          </w:tcPr>
          <w:p w:rsidR="00751131" w:rsidRPr="00411B94" w:rsidRDefault="007E4C55">
            <w:pPr>
              <w:pStyle w:val="Header"/>
              <w:tabs>
                <w:tab w:val="clear" w:pos="4320"/>
                <w:tab w:val="clear" w:pos="8640"/>
              </w:tabs>
              <w:spacing w:line="240" w:lineRule="auto"/>
              <w:jc w:val="center"/>
              <w:rPr>
                <w:sz w:val="22"/>
                <w:szCs w:val="22"/>
              </w:rPr>
            </w:pPr>
            <w:r w:rsidRPr="00411B94">
              <w:rPr>
                <w:sz w:val="22"/>
                <w:szCs w:val="22"/>
              </w:rPr>
              <w:t>≥15%</w:t>
            </w:r>
          </w:p>
        </w:tc>
        <w:tc>
          <w:tcPr>
            <w:tcW w:w="540" w:type="dxa"/>
          </w:tcPr>
          <w:p w:rsidR="002F6DFD" w:rsidRPr="00411B94" w:rsidRDefault="002F6DFD" w:rsidP="00E94493">
            <w:pPr>
              <w:pStyle w:val="Header"/>
              <w:tabs>
                <w:tab w:val="clear" w:pos="4320"/>
                <w:tab w:val="clear" w:pos="8640"/>
              </w:tabs>
              <w:spacing w:line="240" w:lineRule="auto"/>
              <w:jc w:val="center"/>
              <w:rPr>
                <w:sz w:val="22"/>
                <w:szCs w:val="22"/>
                <w:u w:val="single"/>
              </w:rPr>
            </w:pPr>
          </w:p>
        </w:tc>
        <w:tc>
          <w:tcPr>
            <w:tcW w:w="1710" w:type="dxa"/>
          </w:tcPr>
          <w:p w:rsidR="002F6DFD" w:rsidRPr="00411B94" w:rsidRDefault="009623C5" w:rsidP="00E94493">
            <w:pPr>
              <w:pStyle w:val="Header"/>
              <w:tabs>
                <w:tab w:val="clear" w:pos="4320"/>
                <w:tab w:val="clear" w:pos="8640"/>
              </w:tabs>
              <w:spacing w:line="240" w:lineRule="auto"/>
              <w:jc w:val="center"/>
              <w:rPr>
                <w:sz w:val="22"/>
                <w:szCs w:val="22"/>
              </w:rPr>
            </w:pPr>
            <w:r w:rsidRPr="00411B94">
              <w:rPr>
                <w:sz w:val="22"/>
                <w:szCs w:val="22"/>
              </w:rPr>
              <w:t>10</w:t>
            </w:r>
          </w:p>
        </w:tc>
      </w:tr>
    </w:tbl>
    <w:p w:rsidR="004A5977" w:rsidRDefault="004A5977" w:rsidP="00E94493">
      <w:pPr>
        <w:spacing w:line="240" w:lineRule="auto"/>
        <w:rPr>
          <w:sz w:val="22"/>
          <w:szCs w:val="22"/>
        </w:rPr>
      </w:pPr>
    </w:p>
    <w:p w:rsidR="00BE4A73" w:rsidRPr="00411B94" w:rsidRDefault="00BE4A73" w:rsidP="00E94493">
      <w:pPr>
        <w:spacing w:line="240" w:lineRule="auto"/>
        <w:rPr>
          <w:sz w:val="22"/>
          <w:szCs w:val="22"/>
        </w:rPr>
      </w:pPr>
    </w:p>
    <w:tbl>
      <w:tblPr>
        <w:tblW w:w="10368" w:type="dxa"/>
        <w:tblBorders>
          <w:insideH w:val="single" w:sz="4" w:space="0" w:color="auto"/>
        </w:tblBorders>
        <w:tblLayout w:type="fixed"/>
        <w:tblLook w:val="0000" w:firstRow="0" w:lastRow="0" w:firstColumn="0" w:lastColumn="0" w:noHBand="0" w:noVBand="0"/>
      </w:tblPr>
      <w:tblGrid>
        <w:gridCol w:w="6588"/>
        <w:gridCol w:w="3780"/>
      </w:tblGrid>
      <w:tr w:rsidR="000E5527" w:rsidRPr="00411B94" w:rsidTr="00195F80">
        <w:tc>
          <w:tcPr>
            <w:tcW w:w="6588" w:type="dxa"/>
          </w:tcPr>
          <w:p w:rsidR="000E5527" w:rsidRPr="00411B94" w:rsidRDefault="000E5527" w:rsidP="00E94493">
            <w:pPr>
              <w:pStyle w:val="Header"/>
              <w:tabs>
                <w:tab w:val="clear" w:pos="4320"/>
                <w:tab w:val="clear" w:pos="8640"/>
              </w:tabs>
              <w:spacing w:after="120" w:line="240" w:lineRule="auto"/>
              <w:rPr>
                <w:b/>
                <w:sz w:val="22"/>
                <w:szCs w:val="22"/>
              </w:rPr>
            </w:pPr>
            <w:r w:rsidRPr="00411B94">
              <w:rPr>
                <w:b/>
                <w:sz w:val="22"/>
                <w:szCs w:val="22"/>
              </w:rPr>
              <w:t>Total Points Available</w:t>
            </w:r>
          </w:p>
        </w:tc>
        <w:tc>
          <w:tcPr>
            <w:tcW w:w="3780" w:type="dxa"/>
          </w:tcPr>
          <w:p w:rsidR="00083059" w:rsidRDefault="00793F44" w:rsidP="00180E41">
            <w:pPr>
              <w:pStyle w:val="Header"/>
              <w:tabs>
                <w:tab w:val="clear" w:pos="4320"/>
                <w:tab w:val="clear" w:pos="8640"/>
                <w:tab w:val="left" w:pos="3402"/>
              </w:tabs>
              <w:spacing w:after="120" w:line="240" w:lineRule="auto"/>
              <w:jc w:val="center"/>
              <w:rPr>
                <w:i/>
                <w:sz w:val="22"/>
                <w:szCs w:val="22"/>
              </w:rPr>
            </w:pPr>
            <w:r>
              <w:rPr>
                <w:i/>
                <w:color w:val="FF0000"/>
                <w:sz w:val="22"/>
                <w:szCs w:val="22"/>
              </w:rPr>
              <w:t xml:space="preserve">  </w:t>
            </w:r>
            <w:r w:rsidR="00083059" w:rsidRPr="00083059">
              <w:rPr>
                <w:i/>
                <w:color w:val="FF0000"/>
                <w:sz w:val="22"/>
                <w:szCs w:val="22"/>
              </w:rPr>
              <w:t>145</w:t>
            </w:r>
            <w:r w:rsidR="00BB3CD8" w:rsidRPr="00411B94">
              <w:rPr>
                <w:i/>
                <w:sz w:val="22"/>
                <w:szCs w:val="22"/>
              </w:rPr>
              <w:t xml:space="preserve"> </w:t>
            </w:r>
            <w:r w:rsidR="000E5527" w:rsidRPr="00411B94">
              <w:rPr>
                <w:i/>
                <w:sz w:val="22"/>
                <w:szCs w:val="22"/>
              </w:rPr>
              <w:t>points</w:t>
            </w:r>
          </w:p>
        </w:tc>
      </w:tr>
    </w:tbl>
    <w:p w:rsidR="000E5527" w:rsidRPr="00411B94" w:rsidRDefault="000E5527" w:rsidP="00195F80">
      <w:pPr>
        <w:spacing w:line="240" w:lineRule="auto"/>
        <w:rPr>
          <w:b/>
          <w:sz w:val="22"/>
          <w:szCs w:val="22"/>
        </w:rPr>
      </w:pPr>
    </w:p>
    <w:sectPr w:rsidR="000E5527" w:rsidRPr="00411B94" w:rsidSect="00C23CCD">
      <w:footerReference w:type="default" r:id="rId17"/>
      <w:headerReference w:type="first" r:id="rId18"/>
      <w:pgSz w:w="12240" w:h="15840" w:code="1"/>
      <w:pgMar w:top="576" w:right="1440" w:bottom="720" w:left="1440" w:header="288"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DB" w:rsidRDefault="009A36DB">
      <w:r>
        <w:separator/>
      </w:r>
    </w:p>
  </w:endnote>
  <w:endnote w:type="continuationSeparator" w:id="0">
    <w:p w:rsidR="009A36DB" w:rsidRDefault="009A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3832"/>
      <w:docPartObj>
        <w:docPartGallery w:val="Page Numbers (Bottom of Page)"/>
        <w:docPartUnique/>
      </w:docPartObj>
    </w:sdtPr>
    <w:sdtEndPr/>
    <w:sdtContent>
      <w:p w:rsidR="009F455C" w:rsidRDefault="00A83A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3833"/>
      <w:docPartObj>
        <w:docPartGallery w:val="Page Numbers (Bottom of Page)"/>
        <w:docPartUnique/>
      </w:docPartObj>
    </w:sdtPr>
    <w:sdtEndPr/>
    <w:sdtContent>
      <w:p w:rsidR="009F455C" w:rsidRDefault="00A83A6A">
        <w:pPr>
          <w:pStyle w:val="Footer"/>
          <w:jc w:val="center"/>
        </w:pPr>
        <w:r>
          <w:fldChar w:fldCharType="begin"/>
        </w:r>
        <w:r>
          <w:instrText xml:space="preserve"> PAGE   \* MERGEFORMAT </w:instrText>
        </w:r>
        <w:r>
          <w:fldChar w:fldCharType="separate"/>
        </w:r>
        <w:r w:rsidR="009F455C">
          <w:rPr>
            <w:noProof/>
          </w:rPr>
          <w:t>29</w:t>
        </w:r>
        <w:r>
          <w:rPr>
            <w:noProof/>
          </w:rPr>
          <w:fldChar w:fldCharType="end"/>
        </w:r>
      </w:p>
    </w:sdtContent>
  </w:sdt>
  <w:p w:rsidR="009F455C" w:rsidRDefault="009F4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3837"/>
      <w:docPartObj>
        <w:docPartGallery w:val="Page Numbers (Bottom of Page)"/>
        <w:docPartUnique/>
      </w:docPartObj>
    </w:sdtPr>
    <w:sdtEndPr/>
    <w:sdtContent>
      <w:p w:rsidR="009F455C" w:rsidRDefault="00A83A6A">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9F455C" w:rsidRPr="000B52B4" w:rsidRDefault="009F455C" w:rsidP="000B52B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DB" w:rsidRDefault="009A36DB">
      <w:r>
        <w:separator/>
      </w:r>
    </w:p>
  </w:footnote>
  <w:footnote w:type="continuationSeparator" w:id="0">
    <w:p w:rsidR="009A36DB" w:rsidRDefault="009A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C" w:rsidRPr="00145F79" w:rsidRDefault="009F455C" w:rsidP="00145F7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C" w:rsidRPr="00145F79" w:rsidRDefault="009F455C" w:rsidP="00145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12FD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564F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8E5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426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5E1C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92DC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DAA6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B214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A8F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C2CD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F474D"/>
    <w:multiLevelType w:val="hybridMultilevel"/>
    <w:tmpl w:val="248A04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5BB0DDA"/>
    <w:multiLevelType w:val="hybridMultilevel"/>
    <w:tmpl w:val="0B668D42"/>
    <w:lvl w:ilvl="0" w:tplc="57CEE8C6">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622516"/>
    <w:multiLevelType w:val="hybridMultilevel"/>
    <w:tmpl w:val="B7605F8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B421DCE"/>
    <w:multiLevelType w:val="hybridMultilevel"/>
    <w:tmpl w:val="E72E9150"/>
    <w:lvl w:ilvl="0" w:tplc="FAA07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F94993"/>
    <w:multiLevelType w:val="hybridMultilevel"/>
    <w:tmpl w:val="7EB67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FBA7816"/>
    <w:multiLevelType w:val="singleLevel"/>
    <w:tmpl w:val="04090001"/>
    <w:lvl w:ilvl="0">
      <w:start w:val="1"/>
      <w:numFmt w:val="bullet"/>
      <w:lvlText w:val=""/>
      <w:lvlJc w:val="left"/>
      <w:pPr>
        <w:ind w:left="2160" w:hanging="360"/>
      </w:pPr>
      <w:rPr>
        <w:rFonts w:ascii="Symbol" w:hAnsi="Symbol" w:hint="default"/>
      </w:rPr>
    </w:lvl>
  </w:abstractNum>
  <w:abstractNum w:abstractNumId="16">
    <w:nsid w:val="12587722"/>
    <w:multiLevelType w:val="hybridMultilevel"/>
    <w:tmpl w:val="DC66CA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A00287"/>
    <w:multiLevelType w:val="hybridMultilevel"/>
    <w:tmpl w:val="975074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3FF4AE8"/>
    <w:multiLevelType w:val="hybridMultilevel"/>
    <w:tmpl w:val="C7800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55E62DD"/>
    <w:multiLevelType w:val="hybridMultilevel"/>
    <w:tmpl w:val="F9409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6DE7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7891CAA"/>
    <w:multiLevelType w:val="hybridMultilevel"/>
    <w:tmpl w:val="4A3C70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8EC5922"/>
    <w:multiLevelType w:val="hybridMultilevel"/>
    <w:tmpl w:val="6EA2D6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3544F8"/>
    <w:multiLevelType w:val="hybridMultilevel"/>
    <w:tmpl w:val="4E4883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9BE3FB5"/>
    <w:multiLevelType w:val="hybridMultilevel"/>
    <w:tmpl w:val="4008EE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D684D9F"/>
    <w:multiLevelType w:val="hybridMultilevel"/>
    <w:tmpl w:val="0472F1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1F5E0794"/>
    <w:multiLevelType w:val="hybridMultilevel"/>
    <w:tmpl w:val="62EEE0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0E64C1"/>
    <w:multiLevelType w:val="hybridMultilevel"/>
    <w:tmpl w:val="3B0A5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15E4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86734E9"/>
    <w:multiLevelType w:val="hybridMultilevel"/>
    <w:tmpl w:val="EB5E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82994"/>
    <w:multiLevelType w:val="singleLevel"/>
    <w:tmpl w:val="FD72A03A"/>
    <w:lvl w:ilvl="0">
      <w:start w:val="1"/>
      <w:numFmt w:val="bullet"/>
      <w:pStyle w:val="Cc"/>
      <w:lvlText w:val=""/>
      <w:lvlJc w:val="left"/>
      <w:pPr>
        <w:tabs>
          <w:tab w:val="num" w:pos="360"/>
        </w:tabs>
        <w:ind w:left="288" w:hanging="288"/>
      </w:pPr>
      <w:rPr>
        <w:rFonts w:ascii="Symbol" w:hAnsi="Symbol" w:hint="default"/>
      </w:rPr>
    </w:lvl>
  </w:abstractNum>
  <w:abstractNum w:abstractNumId="31">
    <w:nsid w:val="301855EE"/>
    <w:multiLevelType w:val="hybridMultilevel"/>
    <w:tmpl w:val="89226644"/>
    <w:lvl w:ilvl="0" w:tplc="9CBAFE3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8B135F"/>
    <w:multiLevelType w:val="hybridMultilevel"/>
    <w:tmpl w:val="AE28DC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71F56AA"/>
    <w:multiLevelType w:val="hybridMultilevel"/>
    <w:tmpl w:val="EBF22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C820DBA"/>
    <w:multiLevelType w:val="hybridMultilevel"/>
    <w:tmpl w:val="9A482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3D9B1C32"/>
    <w:multiLevelType w:val="hybridMultilevel"/>
    <w:tmpl w:val="DE3659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40E3755B"/>
    <w:multiLevelType w:val="hybridMultilevel"/>
    <w:tmpl w:val="69F8D8CA"/>
    <w:lvl w:ilvl="0" w:tplc="4086E9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2C6170"/>
    <w:multiLevelType w:val="hybridMultilevel"/>
    <w:tmpl w:val="970E6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7F12273"/>
    <w:multiLevelType w:val="hybridMultilevel"/>
    <w:tmpl w:val="97AC34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AEA3E52"/>
    <w:multiLevelType w:val="hybridMultilevel"/>
    <w:tmpl w:val="E2B60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B117ED4"/>
    <w:multiLevelType w:val="hybridMultilevel"/>
    <w:tmpl w:val="B2AE35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nsid w:val="4B7D3B07"/>
    <w:multiLevelType w:val="hybridMultilevel"/>
    <w:tmpl w:val="819843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4BBF2858"/>
    <w:multiLevelType w:val="hybridMultilevel"/>
    <w:tmpl w:val="08B8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C575AC"/>
    <w:multiLevelType w:val="hybridMultilevel"/>
    <w:tmpl w:val="FEF0C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DA1EC4"/>
    <w:multiLevelType w:val="hybridMultilevel"/>
    <w:tmpl w:val="B25C0F34"/>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F62BCD"/>
    <w:multiLevelType w:val="hybridMultilevel"/>
    <w:tmpl w:val="369A2DFA"/>
    <w:lvl w:ilvl="0" w:tplc="137497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265CAA"/>
    <w:multiLevelType w:val="hybridMultilevel"/>
    <w:tmpl w:val="695E9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E7A5337"/>
    <w:multiLevelType w:val="hybridMultilevel"/>
    <w:tmpl w:val="40020522"/>
    <w:lvl w:ilvl="0" w:tplc="447A6C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0773E73"/>
    <w:multiLevelType w:val="hybridMultilevel"/>
    <w:tmpl w:val="F93AA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3041947"/>
    <w:multiLevelType w:val="singleLevel"/>
    <w:tmpl w:val="04090001"/>
    <w:lvl w:ilvl="0">
      <w:start w:val="1"/>
      <w:numFmt w:val="bullet"/>
      <w:lvlText w:val=""/>
      <w:lvlJc w:val="left"/>
      <w:pPr>
        <w:ind w:left="720" w:hanging="360"/>
      </w:pPr>
      <w:rPr>
        <w:rFonts w:ascii="Symbol" w:hAnsi="Symbol" w:hint="default"/>
      </w:rPr>
    </w:lvl>
  </w:abstractNum>
  <w:abstractNum w:abstractNumId="50">
    <w:nsid w:val="55B67CDB"/>
    <w:multiLevelType w:val="hybridMultilevel"/>
    <w:tmpl w:val="F36E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E85D1F"/>
    <w:multiLevelType w:val="hybridMultilevel"/>
    <w:tmpl w:val="8B2C78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59362C87"/>
    <w:multiLevelType w:val="hybridMultilevel"/>
    <w:tmpl w:val="DF9E3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9F14547"/>
    <w:multiLevelType w:val="hybridMultilevel"/>
    <w:tmpl w:val="78A86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C196214"/>
    <w:multiLevelType w:val="hybridMultilevel"/>
    <w:tmpl w:val="B9AA4FD6"/>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5">
    <w:nsid w:val="5EF47EC7"/>
    <w:multiLevelType w:val="hybridMultilevel"/>
    <w:tmpl w:val="20769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157161B"/>
    <w:multiLevelType w:val="hybridMultilevel"/>
    <w:tmpl w:val="67382C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nsid w:val="67DB15C4"/>
    <w:multiLevelType w:val="hybridMultilevel"/>
    <w:tmpl w:val="7C0C6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9E70261"/>
    <w:multiLevelType w:val="hybridMultilevel"/>
    <w:tmpl w:val="D3B8C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1E12611"/>
    <w:multiLevelType w:val="hybridMultilevel"/>
    <w:tmpl w:val="1FD82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74B927E6"/>
    <w:multiLevelType w:val="multilevel"/>
    <w:tmpl w:val="4A5AB8B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8F40826"/>
    <w:multiLevelType w:val="hybridMultilevel"/>
    <w:tmpl w:val="69F8D8CA"/>
    <w:lvl w:ilvl="0" w:tplc="4086E9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C37B4C"/>
    <w:multiLevelType w:val="hybridMultilevel"/>
    <w:tmpl w:val="DB5AC7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B4A24FA"/>
    <w:multiLevelType w:val="hybridMultilevel"/>
    <w:tmpl w:val="B20E5246"/>
    <w:lvl w:ilvl="0" w:tplc="5BDEF0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E014112"/>
    <w:multiLevelType w:val="hybridMultilevel"/>
    <w:tmpl w:val="3E048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E263D2A"/>
    <w:multiLevelType w:val="hybridMultilevel"/>
    <w:tmpl w:val="AC442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9"/>
  </w:num>
  <w:num w:numId="3">
    <w:abstractNumId w:val="15"/>
  </w:num>
  <w:num w:numId="4">
    <w:abstractNumId w:val="3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5"/>
  </w:num>
  <w:num w:numId="18">
    <w:abstractNumId w:val="23"/>
  </w:num>
  <w:num w:numId="19">
    <w:abstractNumId w:val="47"/>
  </w:num>
  <w:num w:numId="20">
    <w:abstractNumId w:val="59"/>
  </w:num>
  <w:num w:numId="21">
    <w:abstractNumId w:val="26"/>
  </w:num>
  <w:num w:numId="22">
    <w:abstractNumId w:val="21"/>
  </w:num>
  <w:num w:numId="23">
    <w:abstractNumId w:val="63"/>
  </w:num>
  <w:num w:numId="24">
    <w:abstractNumId w:val="65"/>
  </w:num>
  <w:num w:numId="25">
    <w:abstractNumId w:val="44"/>
  </w:num>
  <w:num w:numId="26">
    <w:abstractNumId w:val="11"/>
  </w:num>
  <w:num w:numId="27">
    <w:abstractNumId w:val="34"/>
  </w:num>
  <w:num w:numId="28">
    <w:abstractNumId w:val="38"/>
  </w:num>
  <w:num w:numId="29">
    <w:abstractNumId w:val="51"/>
  </w:num>
  <w:num w:numId="30">
    <w:abstractNumId w:val="56"/>
  </w:num>
  <w:num w:numId="31">
    <w:abstractNumId w:val="50"/>
  </w:num>
  <w:num w:numId="32">
    <w:abstractNumId w:val="43"/>
  </w:num>
  <w:num w:numId="33">
    <w:abstractNumId w:val="57"/>
  </w:num>
  <w:num w:numId="34">
    <w:abstractNumId w:val="14"/>
  </w:num>
  <w:num w:numId="35">
    <w:abstractNumId w:val="64"/>
  </w:num>
  <w:num w:numId="36">
    <w:abstractNumId w:val="58"/>
  </w:num>
  <w:num w:numId="37">
    <w:abstractNumId w:val="33"/>
  </w:num>
  <w:num w:numId="38">
    <w:abstractNumId w:val="40"/>
  </w:num>
  <w:num w:numId="39">
    <w:abstractNumId w:val="29"/>
  </w:num>
  <w:num w:numId="40">
    <w:abstractNumId w:val="12"/>
  </w:num>
  <w:num w:numId="41">
    <w:abstractNumId w:val="22"/>
  </w:num>
  <w:num w:numId="42">
    <w:abstractNumId w:val="16"/>
  </w:num>
  <w:num w:numId="43">
    <w:abstractNumId w:val="37"/>
  </w:num>
  <w:num w:numId="44">
    <w:abstractNumId w:val="55"/>
  </w:num>
  <w:num w:numId="45">
    <w:abstractNumId w:val="36"/>
  </w:num>
  <w:num w:numId="46">
    <w:abstractNumId w:val="42"/>
  </w:num>
  <w:num w:numId="47">
    <w:abstractNumId w:val="13"/>
  </w:num>
  <w:num w:numId="48">
    <w:abstractNumId w:val="60"/>
  </w:num>
  <w:num w:numId="49">
    <w:abstractNumId w:val="62"/>
  </w:num>
  <w:num w:numId="50">
    <w:abstractNumId w:val="45"/>
  </w:num>
  <w:num w:numId="51">
    <w:abstractNumId w:val="61"/>
  </w:num>
  <w:num w:numId="52">
    <w:abstractNumId w:val="31"/>
  </w:num>
  <w:num w:numId="53">
    <w:abstractNumId w:val="48"/>
  </w:num>
  <w:num w:numId="54">
    <w:abstractNumId w:val="39"/>
  </w:num>
  <w:num w:numId="55">
    <w:abstractNumId w:val="46"/>
  </w:num>
  <w:num w:numId="56">
    <w:abstractNumId w:val="54"/>
  </w:num>
  <w:num w:numId="57">
    <w:abstractNumId w:val="17"/>
  </w:num>
  <w:num w:numId="58">
    <w:abstractNumId w:val="32"/>
  </w:num>
  <w:num w:numId="59">
    <w:abstractNumId w:val="24"/>
  </w:num>
  <w:num w:numId="60">
    <w:abstractNumId w:val="10"/>
  </w:num>
  <w:num w:numId="61">
    <w:abstractNumId w:val="53"/>
  </w:num>
  <w:num w:numId="62">
    <w:abstractNumId w:val="41"/>
  </w:num>
  <w:num w:numId="63">
    <w:abstractNumId w:val="27"/>
  </w:num>
  <w:num w:numId="64">
    <w:abstractNumId w:val="18"/>
  </w:num>
  <w:num w:numId="65">
    <w:abstractNumId w:val="19"/>
  </w:num>
  <w:num w:numId="66">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B6"/>
    <w:rsid w:val="00001CAA"/>
    <w:rsid w:val="00001ECF"/>
    <w:rsid w:val="00001EE4"/>
    <w:rsid w:val="000021B6"/>
    <w:rsid w:val="00003103"/>
    <w:rsid w:val="0000535D"/>
    <w:rsid w:val="00005FD9"/>
    <w:rsid w:val="000061FE"/>
    <w:rsid w:val="000068B2"/>
    <w:rsid w:val="000100D3"/>
    <w:rsid w:val="0001031C"/>
    <w:rsid w:val="000119C8"/>
    <w:rsid w:val="00011CDE"/>
    <w:rsid w:val="000141C3"/>
    <w:rsid w:val="00014E25"/>
    <w:rsid w:val="00015CC7"/>
    <w:rsid w:val="00016601"/>
    <w:rsid w:val="00017266"/>
    <w:rsid w:val="00017402"/>
    <w:rsid w:val="00020337"/>
    <w:rsid w:val="0002231C"/>
    <w:rsid w:val="000236CB"/>
    <w:rsid w:val="0002436B"/>
    <w:rsid w:val="0002561B"/>
    <w:rsid w:val="0002601B"/>
    <w:rsid w:val="00026C7F"/>
    <w:rsid w:val="000312AC"/>
    <w:rsid w:val="000312FA"/>
    <w:rsid w:val="0003196A"/>
    <w:rsid w:val="00031C36"/>
    <w:rsid w:val="00032A0E"/>
    <w:rsid w:val="00034965"/>
    <w:rsid w:val="00035B40"/>
    <w:rsid w:val="00036411"/>
    <w:rsid w:val="000365D2"/>
    <w:rsid w:val="00036A97"/>
    <w:rsid w:val="00036FE4"/>
    <w:rsid w:val="0003722D"/>
    <w:rsid w:val="0004020F"/>
    <w:rsid w:val="00040787"/>
    <w:rsid w:val="000408F3"/>
    <w:rsid w:val="00040C81"/>
    <w:rsid w:val="000415CF"/>
    <w:rsid w:val="000422CF"/>
    <w:rsid w:val="00042630"/>
    <w:rsid w:val="00042F74"/>
    <w:rsid w:val="00044031"/>
    <w:rsid w:val="00044F60"/>
    <w:rsid w:val="00045F5E"/>
    <w:rsid w:val="000460F1"/>
    <w:rsid w:val="000462F6"/>
    <w:rsid w:val="0004687A"/>
    <w:rsid w:val="00046BC9"/>
    <w:rsid w:val="00046DAD"/>
    <w:rsid w:val="0004766F"/>
    <w:rsid w:val="000516C5"/>
    <w:rsid w:val="0005677F"/>
    <w:rsid w:val="00057B4F"/>
    <w:rsid w:val="00060B72"/>
    <w:rsid w:val="00061D83"/>
    <w:rsid w:val="00062906"/>
    <w:rsid w:val="00063EBF"/>
    <w:rsid w:val="000647DB"/>
    <w:rsid w:val="000651E3"/>
    <w:rsid w:val="000652CA"/>
    <w:rsid w:val="00067146"/>
    <w:rsid w:val="0006754E"/>
    <w:rsid w:val="00070EEC"/>
    <w:rsid w:val="00071518"/>
    <w:rsid w:val="00071770"/>
    <w:rsid w:val="000717E7"/>
    <w:rsid w:val="00074428"/>
    <w:rsid w:val="000744D4"/>
    <w:rsid w:val="00074572"/>
    <w:rsid w:val="000745ED"/>
    <w:rsid w:val="0007532A"/>
    <w:rsid w:val="000759B2"/>
    <w:rsid w:val="00075E60"/>
    <w:rsid w:val="00076014"/>
    <w:rsid w:val="00076702"/>
    <w:rsid w:val="00076CCC"/>
    <w:rsid w:val="000771BC"/>
    <w:rsid w:val="00077543"/>
    <w:rsid w:val="00080B35"/>
    <w:rsid w:val="000816DB"/>
    <w:rsid w:val="000819A1"/>
    <w:rsid w:val="0008261E"/>
    <w:rsid w:val="000826A5"/>
    <w:rsid w:val="00082891"/>
    <w:rsid w:val="00083059"/>
    <w:rsid w:val="0008573C"/>
    <w:rsid w:val="000863AE"/>
    <w:rsid w:val="00090C27"/>
    <w:rsid w:val="00090CE2"/>
    <w:rsid w:val="0009102E"/>
    <w:rsid w:val="00091875"/>
    <w:rsid w:val="00092C97"/>
    <w:rsid w:val="00092FB7"/>
    <w:rsid w:val="00093990"/>
    <w:rsid w:val="00093BF8"/>
    <w:rsid w:val="000949B8"/>
    <w:rsid w:val="0009505F"/>
    <w:rsid w:val="000950D4"/>
    <w:rsid w:val="000958A4"/>
    <w:rsid w:val="000A009B"/>
    <w:rsid w:val="000A01DC"/>
    <w:rsid w:val="000A0BB2"/>
    <w:rsid w:val="000A1BD3"/>
    <w:rsid w:val="000A56FA"/>
    <w:rsid w:val="000A5987"/>
    <w:rsid w:val="000A61BE"/>
    <w:rsid w:val="000A71AC"/>
    <w:rsid w:val="000A777F"/>
    <w:rsid w:val="000B0596"/>
    <w:rsid w:val="000B211F"/>
    <w:rsid w:val="000B2A3E"/>
    <w:rsid w:val="000B45B7"/>
    <w:rsid w:val="000B46FA"/>
    <w:rsid w:val="000B52B4"/>
    <w:rsid w:val="000B65E9"/>
    <w:rsid w:val="000B6C37"/>
    <w:rsid w:val="000B7139"/>
    <w:rsid w:val="000C2E8A"/>
    <w:rsid w:val="000C3338"/>
    <w:rsid w:val="000C3559"/>
    <w:rsid w:val="000C3845"/>
    <w:rsid w:val="000C4088"/>
    <w:rsid w:val="000C63EC"/>
    <w:rsid w:val="000C6594"/>
    <w:rsid w:val="000D01BD"/>
    <w:rsid w:val="000D04FA"/>
    <w:rsid w:val="000D0F43"/>
    <w:rsid w:val="000D1052"/>
    <w:rsid w:val="000D23C1"/>
    <w:rsid w:val="000D2A8C"/>
    <w:rsid w:val="000D2C44"/>
    <w:rsid w:val="000D2C82"/>
    <w:rsid w:val="000D2DBC"/>
    <w:rsid w:val="000D4977"/>
    <w:rsid w:val="000D4B2A"/>
    <w:rsid w:val="000D5A43"/>
    <w:rsid w:val="000D6158"/>
    <w:rsid w:val="000D6393"/>
    <w:rsid w:val="000D67E1"/>
    <w:rsid w:val="000D7751"/>
    <w:rsid w:val="000E03DB"/>
    <w:rsid w:val="000E047B"/>
    <w:rsid w:val="000E1C4B"/>
    <w:rsid w:val="000E1EBA"/>
    <w:rsid w:val="000E276C"/>
    <w:rsid w:val="000E2A6A"/>
    <w:rsid w:val="000E2DF1"/>
    <w:rsid w:val="000E303F"/>
    <w:rsid w:val="000E3108"/>
    <w:rsid w:val="000E39A7"/>
    <w:rsid w:val="000E5527"/>
    <w:rsid w:val="000E5C60"/>
    <w:rsid w:val="000E5F3D"/>
    <w:rsid w:val="000E66D5"/>
    <w:rsid w:val="000E71BE"/>
    <w:rsid w:val="000E75DE"/>
    <w:rsid w:val="000F072D"/>
    <w:rsid w:val="000F1385"/>
    <w:rsid w:val="000F1A89"/>
    <w:rsid w:val="000F1C16"/>
    <w:rsid w:val="000F3C26"/>
    <w:rsid w:val="000F45F2"/>
    <w:rsid w:val="000F4BA9"/>
    <w:rsid w:val="000F4FD4"/>
    <w:rsid w:val="000F514E"/>
    <w:rsid w:val="000F54E0"/>
    <w:rsid w:val="00100129"/>
    <w:rsid w:val="001006BF"/>
    <w:rsid w:val="00100CB9"/>
    <w:rsid w:val="00103379"/>
    <w:rsid w:val="00103BD9"/>
    <w:rsid w:val="00104281"/>
    <w:rsid w:val="00104359"/>
    <w:rsid w:val="00105202"/>
    <w:rsid w:val="001058D7"/>
    <w:rsid w:val="00105B45"/>
    <w:rsid w:val="00105E83"/>
    <w:rsid w:val="00106DF9"/>
    <w:rsid w:val="00107570"/>
    <w:rsid w:val="00107A02"/>
    <w:rsid w:val="00107D82"/>
    <w:rsid w:val="0011045A"/>
    <w:rsid w:val="00110BD4"/>
    <w:rsid w:val="00110BFF"/>
    <w:rsid w:val="00112EC0"/>
    <w:rsid w:val="001176EC"/>
    <w:rsid w:val="00121527"/>
    <w:rsid w:val="00121739"/>
    <w:rsid w:val="00122BCC"/>
    <w:rsid w:val="00122FAE"/>
    <w:rsid w:val="00123737"/>
    <w:rsid w:val="00124338"/>
    <w:rsid w:val="001262F1"/>
    <w:rsid w:val="001304C8"/>
    <w:rsid w:val="001306AC"/>
    <w:rsid w:val="00130993"/>
    <w:rsid w:val="00132854"/>
    <w:rsid w:val="001333C6"/>
    <w:rsid w:val="00134065"/>
    <w:rsid w:val="00135D18"/>
    <w:rsid w:val="00135F56"/>
    <w:rsid w:val="00136E4A"/>
    <w:rsid w:val="001375C6"/>
    <w:rsid w:val="00137F9F"/>
    <w:rsid w:val="00140713"/>
    <w:rsid w:val="001416C3"/>
    <w:rsid w:val="00142493"/>
    <w:rsid w:val="00142531"/>
    <w:rsid w:val="00142D7F"/>
    <w:rsid w:val="00142EF5"/>
    <w:rsid w:val="001442DA"/>
    <w:rsid w:val="001444FE"/>
    <w:rsid w:val="001448C6"/>
    <w:rsid w:val="0014490B"/>
    <w:rsid w:val="00144D05"/>
    <w:rsid w:val="00144D8A"/>
    <w:rsid w:val="00144EAC"/>
    <w:rsid w:val="0014597B"/>
    <w:rsid w:val="00145F79"/>
    <w:rsid w:val="001462D6"/>
    <w:rsid w:val="00146C48"/>
    <w:rsid w:val="00150EDB"/>
    <w:rsid w:val="0015104F"/>
    <w:rsid w:val="001516EE"/>
    <w:rsid w:val="00152065"/>
    <w:rsid w:val="001536E3"/>
    <w:rsid w:val="001538FE"/>
    <w:rsid w:val="00153D57"/>
    <w:rsid w:val="00154B20"/>
    <w:rsid w:val="001562D5"/>
    <w:rsid w:val="00157583"/>
    <w:rsid w:val="00160777"/>
    <w:rsid w:val="00163452"/>
    <w:rsid w:val="00163A61"/>
    <w:rsid w:val="00163E75"/>
    <w:rsid w:val="00164ADA"/>
    <w:rsid w:val="001665FA"/>
    <w:rsid w:val="001727F2"/>
    <w:rsid w:val="0017336C"/>
    <w:rsid w:val="00173F3D"/>
    <w:rsid w:val="0017597B"/>
    <w:rsid w:val="00175AEB"/>
    <w:rsid w:val="00177368"/>
    <w:rsid w:val="00177F08"/>
    <w:rsid w:val="00177FF1"/>
    <w:rsid w:val="00180E41"/>
    <w:rsid w:val="00180EE8"/>
    <w:rsid w:val="001826E3"/>
    <w:rsid w:val="00183E13"/>
    <w:rsid w:val="001848D9"/>
    <w:rsid w:val="00184C50"/>
    <w:rsid w:val="0018519A"/>
    <w:rsid w:val="001855D7"/>
    <w:rsid w:val="001866F4"/>
    <w:rsid w:val="0018686F"/>
    <w:rsid w:val="00187173"/>
    <w:rsid w:val="001876CD"/>
    <w:rsid w:val="00187B21"/>
    <w:rsid w:val="001935DA"/>
    <w:rsid w:val="00193AC9"/>
    <w:rsid w:val="00194076"/>
    <w:rsid w:val="00194E98"/>
    <w:rsid w:val="00195BAE"/>
    <w:rsid w:val="00195F80"/>
    <w:rsid w:val="00195FF1"/>
    <w:rsid w:val="00196062"/>
    <w:rsid w:val="00196267"/>
    <w:rsid w:val="00196921"/>
    <w:rsid w:val="00197555"/>
    <w:rsid w:val="001A0585"/>
    <w:rsid w:val="001A069E"/>
    <w:rsid w:val="001A0A06"/>
    <w:rsid w:val="001A14CA"/>
    <w:rsid w:val="001A15C6"/>
    <w:rsid w:val="001A1952"/>
    <w:rsid w:val="001A32AB"/>
    <w:rsid w:val="001A3A97"/>
    <w:rsid w:val="001A3E38"/>
    <w:rsid w:val="001A440F"/>
    <w:rsid w:val="001A46FF"/>
    <w:rsid w:val="001A4856"/>
    <w:rsid w:val="001A517F"/>
    <w:rsid w:val="001A51E8"/>
    <w:rsid w:val="001A5407"/>
    <w:rsid w:val="001A58DD"/>
    <w:rsid w:val="001A5AEB"/>
    <w:rsid w:val="001A5DBA"/>
    <w:rsid w:val="001A5FA3"/>
    <w:rsid w:val="001A64DF"/>
    <w:rsid w:val="001A6610"/>
    <w:rsid w:val="001A6C41"/>
    <w:rsid w:val="001A70CD"/>
    <w:rsid w:val="001A7795"/>
    <w:rsid w:val="001A7DD4"/>
    <w:rsid w:val="001B1133"/>
    <w:rsid w:val="001B4417"/>
    <w:rsid w:val="001B4680"/>
    <w:rsid w:val="001B5101"/>
    <w:rsid w:val="001B5622"/>
    <w:rsid w:val="001B78DB"/>
    <w:rsid w:val="001C3665"/>
    <w:rsid w:val="001C3767"/>
    <w:rsid w:val="001C39ED"/>
    <w:rsid w:val="001C7E98"/>
    <w:rsid w:val="001D1153"/>
    <w:rsid w:val="001D16D3"/>
    <w:rsid w:val="001D1B1D"/>
    <w:rsid w:val="001D321D"/>
    <w:rsid w:val="001D62D8"/>
    <w:rsid w:val="001D6A92"/>
    <w:rsid w:val="001D6E8D"/>
    <w:rsid w:val="001D6F7B"/>
    <w:rsid w:val="001E015E"/>
    <w:rsid w:val="001E0E8D"/>
    <w:rsid w:val="001E23AF"/>
    <w:rsid w:val="001E2DD4"/>
    <w:rsid w:val="001E3940"/>
    <w:rsid w:val="001E4217"/>
    <w:rsid w:val="001E48E5"/>
    <w:rsid w:val="001E4B16"/>
    <w:rsid w:val="001E53D7"/>
    <w:rsid w:val="001E6C6C"/>
    <w:rsid w:val="001E6CDE"/>
    <w:rsid w:val="001E7518"/>
    <w:rsid w:val="001F1662"/>
    <w:rsid w:val="001F186B"/>
    <w:rsid w:val="001F5022"/>
    <w:rsid w:val="001F502C"/>
    <w:rsid w:val="001F54BE"/>
    <w:rsid w:val="001F62B9"/>
    <w:rsid w:val="001F6E72"/>
    <w:rsid w:val="001F77E5"/>
    <w:rsid w:val="00200789"/>
    <w:rsid w:val="002008D3"/>
    <w:rsid w:val="00200B65"/>
    <w:rsid w:val="00202BA7"/>
    <w:rsid w:val="00202EB6"/>
    <w:rsid w:val="002035A5"/>
    <w:rsid w:val="00203AFE"/>
    <w:rsid w:val="00203CD6"/>
    <w:rsid w:val="00204149"/>
    <w:rsid w:val="00204ED9"/>
    <w:rsid w:val="00206C98"/>
    <w:rsid w:val="00206DC2"/>
    <w:rsid w:val="00207189"/>
    <w:rsid w:val="00207782"/>
    <w:rsid w:val="00210253"/>
    <w:rsid w:val="002108F9"/>
    <w:rsid w:val="002119DC"/>
    <w:rsid w:val="002121A3"/>
    <w:rsid w:val="002121E9"/>
    <w:rsid w:val="002130D6"/>
    <w:rsid w:val="002145A4"/>
    <w:rsid w:val="00215180"/>
    <w:rsid w:val="00217C20"/>
    <w:rsid w:val="00222345"/>
    <w:rsid w:val="002226EC"/>
    <w:rsid w:val="00222E31"/>
    <w:rsid w:val="002233E5"/>
    <w:rsid w:val="002236D4"/>
    <w:rsid w:val="00223EF9"/>
    <w:rsid w:val="00224988"/>
    <w:rsid w:val="00224EA8"/>
    <w:rsid w:val="00225464"/>
    <w:rsid w:val="00225C35"/>
    <w:rsid w:val="00226487"/>
    <w:rsid w:val="002265BF"/>
    <w:rsid w:val="00226CC0"/>
    <w:rsid w:val="00227328"/>
    <w:rsid w:val="00227BA8"/>
    <w:rsid w:val="00231890"/>
    <w:rsid w:val="00232100"/>
    <w:rsid w:val="00232986"/>
    <w:rsid w:val="002332D6"/>
    <w:rsid w:val="00233593"/>
    <w:rsid w:val="00236014"/>
    <w:rsid w:val="002377DA"/>
    <w:rsid w:val="00245D71"/>
    <w:rsid w:val="0025148D"/>
    <w:rsid w:val="00252590"/>
    <w:rsid w:val="00254826"/>
    <w:rsid w:val="00255CCC"/>
    <w:rsid w:val="00256D1F"/>
    <w:rsid w:val="00257322"/>
    <w:rsid w:val="0026043D"/>
    <w:rsid w:val="00261EB6"/>
    <w:rsid w:val="00262C04"/>
    <w:rsid w:val="00262FCB"/>
    <w:rsid w:val="00263382"/>
    <w:rsid w:val="0026392E"/>
    <w:rsid w:val="00264D9D"/>
    <w:rsid w:val="00265085"/>
    <w:rsid w:val="002667BB"/>
    <w:rsid w:val="002669D8"/>
    <w:rsid w:val="0026725C"/>
    <w:rsid w:val="002701E5"/>
    <w:rsid w:val="0027031B"/>
    <w:rsid w:val="00270C35"/>
    <w:rsid w:val="00273A21"/>
    <w:rsid w:val="002746E9"/>
    <w:rsid w:val="00275119"/>
    <w:rsid w:val="00275FAC"/>
    <w:rsid w:val="00276776"/>
    <w:rsid w:val="00276C37"/>
    <w:rsid w:val="002776BB"/>
    <w:rsid w:val="00277AF4"/>
    <w:rsid w:val="00277FED"/>
    <w:rsid w:val="00280061"/>
    <w:rsid w:val="002808E4"/>
    <w:rsid w:val="00280A71"/>
    <w:rsid w:val="00281D91"/>
    <w:rsid w:val="00282393"/>
    <w:rsid w:val="0028364A"/>
    <w:rsid w:val="00284014"/>
    <w:rsid w:val="002845E6"/>
    <w:rsid w:val="002851C0"/>
    <w:rsid w:val="002854D1"/>
    <w:rsid w:val="002857CF"/>
    <w:rsid w:val="0028626B"/>
    <w:rsid w:val="002867F5"/>
    <w:rsid w:val="00286FC5"/>
    <w:rsid w:val="002906B9"/>
    <w:rsid w:val="00290AB3"/>
    <w:rsid w:val="00290D01"/>
    <w:rsid w:val="00291655"/>
    <w:rsid w:val="0029177A"/>
    <w:rsid w:val="002921CB"/>
    <w:rsid w:val="002922F8"/>
    <w:rsid w:val="00292539"/>
    <w:rsid w:val="00292A05"/>
    <w:rsid w:val="00292EF5"/>
    <w:rsid w:val="00292F7E"/>
    <w:rsid w:val="00293EFE"/>
    <w:rsid w:val="0029499B"/>
    <w:rsid w:val="0029503B"/>
    <w:rsid w:val="00295059"/>
    <w:rsid w:val="002963BE"/>
    <w:rsid w:val="0029781E"/>
    <w:rsid w:val="00297E3D"/>
    <w:rsid w:val="002A03A3"/>
    <w:rsid w:val="002A1953"/>
    <w:rsid w:val="002A1EB9"/>
    <w:rsid w:val="002A3C95"/>
    <w:rsid w:val="002A454E"/>
    <w:rsid w:val="002A45DB"/>
    <w:rsid w:val="002A5282"/>
    <w:rsid w:val="002A61DE"/>
    <w:rsid w:val="002A6881"/>
    <w:rsid w:val="002A7712"/>
    <w:rsid w:val="002A7869"/>
    <w:rsid w:val="002B0D34"/>
    <w:rsid w:val="002B154F"/>
    <w:rsid w:val="002B39B7"/>
    <w:rsid w:val="002B4031"/>
    <w:rsid w:val="002B43CF"/>
    <w:rsid w:val="002B6324"/>
    <w:rsid w:val="002B75B9"/>
    <w:rsid w:val="002C1580"/>
    <w:rsid w:val="002C2E31"/>
    <w:rsid w:val="002C3F8B"/>
    <w:rsid w:val="002C4531"/>
    <w:rsid w:val="002C45ED"/>
    <w:rsid w:val="002C4D10"/>
    <w:rsid w:val="002C51D1"/>
    <w:rsid w:val="002C541D"/>
    <w:rsid w:val="002C5D01"/>
    <w:rsid w:val="002D026B"/>
    <w:rsid w:val="002D05C2"/>
    <w:rsid w:val="002D1116"/>
    <w:rsid w:val="002D2764"/>
    <w:rsid w:val="002D2F3A"/>
    <w:rsid w:val="002D3066"/>
    <w:rsid w:val="002D3243"/>
    <w:rsid w:val="002D44FD"/>
    <w:rsid w:val="002D601D"/>
    <w:rsid w:val="002D732B"/>
    <w:rsid w:val="002E06F0"/>
    <w:rsid w:val="002E1E07"/>
    <w:rsid w:val="002E2E0C"/>
    <w:rsid w:val="002E50AF"/>
    <w:rsid w:val="002E5825"/>
    <w:rsid w:val="002E586E"/>
    <w:rsid w:val="002E5AA6"/>
    <w:rsid w:val="002E5C4B"/>
    <w:rsid w:val="002E7005"/>
    <w:rsid w:val="002E7ECE"/>
    <w:rsid w:val="002F02B1"/>
    <w:rsid w:val="002F0A98"/>
    <w:rsid w:val="002F15FA"/>
    <w:rsid w:val="002F4107"/>
    <w:rsid w:val="002F5160"/>
    <w:rsid w:val="002F6053"/>
    <w:rsid w:val="002F6DFD"/>
    <w:rsid w:val="002F6E7A"/>
    <w:rsid w:val="00300B29"/>
    <w:rsid w:val="00301176"/>
    <w:rsid w:val="00301C5F"/>
    <w:rsid w:val="00302709"/>
    <w:rsid w:val="0030311B"/>
    <w:rsid w:val="003045CC"/>
    <w:rsid w:val="00304AA6"/>
    <w:rsid w:val="003053F1"/>
    <w:rsid w:val="003067F2"/>
    <w:rsid w:val="00306C5B"/>
    <w:rsid w:val="00307AA2"/>
    <w:rsid w:val="003106FE"/>
    <w:rsid w:val="0031127C"/>
    <w:rsid w:val="00311BF5"/>
    <w:rsid w:val="003135B2"/>
    <w:rsid w:val="003138BA"/>
    <w:rsid w:val="00313C1E"/>
    <w:rsid w:val="00313FD7"/>
    <w:rsid w:val="0031406D"/>
    <w:rsid w:val="0031422D"/>
    <w:rsid w:val="00316694"/>
    <w:rsid w:val="003167D4"/>
    <w:rsid w:val="00316A65"/>
    <w:rsid w:val="0031784B"/>
    <w:rsid w:val="00317E04"/>
    <w:rsid w:val="003200A1"/>
    <w:rsid w:val="00320A3A"/>
    <w:rsid w:val="00320D71"/>
    <w:rsid w:val="00320F30"/>
    <w:rsid w:val="00321694"/>
    <w:rsid w:val="003228DE"/>
    <w:rsid w:val="0032304C"/>
    <w:rsid w:val="003231AA"/>
    <w:rsid w:val="0032377F"/>
    <w:rsid w:val="003244ED"/>
    <w:rsid w:val="00324814"/>
    <w:rsid w:val="00325014"/>
    <w:rsid w:val="003251D3"/>
    <w:rsid w:val="00325345"/>
    <w:rsid w:val="00326158"/>
    <w:rsid w:val="00326D7D"/>
    <w:rsid w:val="00330AE9"/>
    <w:rsid w:val="00333B94"/>
    <w:rsid w:val="003341EC"/>
    <w:rsid w:val="0033483E"/>
    <w:rsid w:val="00334A3C"/>
    <w:rsid w:val="00334F1E"/>
    <w:rsid w:val="00335F9C"/>
    <w:rsid w:val="0033611C"/>
    <w:rsid w:val="003362B2"/>
    <w:rsid w:val="00337743"/>
    <w:rsid w:val="00340482"/>
    <w:rsid w:val="00341136"/>
    <w:rsid w:val="00341614"/>
    <w:rsid w:val="00341F1B"/>
    <w:rsid w:val="003422B0"/>
    <w:rsid w:val="0034255D"/>
    <w:rsid w:val="00343823"/>
    <w:rsid w:val="00343C7B"/>
    <w:rsid w:val="00343D70"/>
    <w:rsid w:val="003455F9"/>
    <w:rsid w:val="0034583B"/>
    <w:rsid w:val="00345B67"/>
    <w:rsid w:val="00345FCC"/>
    <w:rsid w:val="003466DF"/>
    <w:rsid w:val="00346CB5"/>
    <w:rsid w:val="0034741A"/>
    <w:rsid w:val="003503F9"/>
    <w:rsid w:val="00351602"/>
    <w:rsid w:val="00351DB0"/>
    <w:rsid w:val="003531CC"/>
    <w:rsid w:val="003537F6"/>
    <w:rsid w:val="00353E36"/>
    <w:rsid w:val="00353F8B"/>
    <w:rsid w:val="00354CA5"/>
    <w:rsid w:val="003558AF"/>
    <w:rsid w:val="003560E8"/>
    <w:rsid w:val="003562C0"/>
    <w:rsid w:val="00357BA9"/>
    <w:rsid w:val="0036187A"/>
    <w:rsid w:val="003624D2"/>
    <w:rsid w:val="00363348"/>
    <w:rsid w:val="0036432F"/>
    <w:rsid w:val="00364AD5"/>
    <w:rsid w:val="00365C21"/>
    <w:rsid w:val="003664F4"/>
    <w:rsid w:val="0036732F"/>
    <w:rsid w:val="00371906"/>
    <w:rsid w:val="00371A79"/>
    <w:rsid w:val="003732A1"/>
    <w:rsid w:val="003737DB"/>
    <w:rsid w:val="003746F5"/>
    <w:rsid w:val="00376853"/>
    <w:rsid w:val="00376AA3"/>
    <w:rsid w:val="00376F47"/>
    <w:rsid w:val="0037726D"/>
    <w:rsid w:val="00377947"/>
    <w:rsid w:val="0038053A"/>
    <w:rsid w:val="00380D04"/>
    <w:rsid w:val="00380DEB"/>
    <w:rsid w:val="00381247"/>
    <w:rsid w:val="003812EA"/>
    <w:rsid w:val="00383254"/>
    <w:rsid w:val="00383E3C"/>
    <w:rsid w:val="003862D8"/>
    <w:rsid w:val="0038642C"/>
    <w:rsid w:val="00387771"/>
    <w:rsid w:val="00387BB3"/>
    <w:rsid w:val="00390B5B"/>
    <w:rsid w:val="00391B23"/>
    <w:rsid w:val="00394DDF"/>
    <w:rsid w:val="003964AA"/>
    <w:rsid w:val="00397589"/>
    <w:rsid w:val="003A074B"/>
    <w:rsid w:val="003A150B"/>
    <w:rsid w:val="003A1A71"/>
    <w:rsid w:val="003A25C7"/>
    <w:rsid w:val="003A2865"/>
    <w:rsid w:val="003A28CA"/>
    <w:rsid w:val="003A29CE"/>
    <w:rsid w:val="003A2B7B"/>
    <w:rsid w:val="003A3AAD"/>
    <w:rsid w:val="003A4107"/>
    <w:rsid w:val="003A41D7"/>
    <w:rsid w:val="003A4657"/>
    <w:rsid w:val="003A47BE"/>
    <w:rsid w:val="003A5245"/>
    <w:rsid w:val="003A5F01"/>
    <w:rsid w:val="003A6D20"/>
    <w:rsid w:val="003A7E32"/>
    <w:rsid w:val="003B1942"/>
    <w:rsid w:val="003B3AC6"/>
    <w:rsid w:val="003B4F4B"/>
    <w:rsid w:val="003B593E"/>
    <w:rsid w:val="003B65B6"/>
    <w:rsid w:val="003C0073"/>
    <w:rsid w:val="003C075E"/>
    <w:rsid w:val="003C09B8"/>
    <w:rsid w:val="003C1D8A"/>
    <w:rsid w:val="003C3741"/>
    <w:rsid w:val="003C461A"/>
    <w:rsid w:val="003C4658"/>
    <w:rsid w:val="003C4D20"/>
    <w:rsid w:val="003C717E"/>
    <w:rsid w:val="003C7702"/>
    <w:rsid w:val="003D09E6"/>
    <w:rsid w:val="003D11B4"/>
    <w:rsid w:val="003D1F22"/>
    <w:rsid w:val="003D36F0"/>
    <w:rsid w:val="003D3B3E"/>
    <w:rsid w:val="003D3DB5"/>
    <w:rsid w:val="003D42C6"/>
    <w:rsid w:val="003D64D0"/>
    <w:rsid w:val="003D6D3D"/>
    <w:rsid w:val="003D71BA"/>
    <w:rsid w:val="003D72A9"/>
    <w:rsid w:val="003D7A83"/>
    <w:rsid w:val="003E219D"/>
    <w:rsid w:val="003E2743"/>
    <w:rsid w:val="003E37F5"/>
    <w:rsid w:val="003E4442"/>
    <w:rsid w:val="003E5308"/>
    <w:rsid w:val="003E53EE"/>
    <w:rsid w:val="003E5E98"/>
    <w:rsid w:val="003E692D"/>
    <w:rsid w:val="003E7319"/>
    <w:rsid w:val="003E73F1"/>
    <w:rsid w:val="003E77ED"/>
    <w:rsid w:val="003E7AD0"/>
    <w:rsid w:val="003E7E20"/>
    <w:rsid w:val="003E7E47"/>
    <w:rsid w:val="003F282D"/>
    <w:rsid w:val="003F47F9"/>
    <w:rsid w:val="003F4E30"/>
    <w:rsid w:val="003F5B26"/>
    <w:rsid w:val="003F6B73"/>
    <w:rsid w:val="003F7B9D"/>
    <w:rsid w:val="003F7DB6"/>
    <w:rsid w:val="0040009C"/>
    <w:rsid w:val="00400662"/>
    <w:rsid w:val="004027C3"/>
    <w:rsid w:val="00403134"/>
    <w:rsid w:val="00403F99"/>
    <w:rsid w:val="00404A8A"/>
    <w:rsid w:val="00405D31"/>
    <w:rsid w:val="00405EA9"/>
    <w:rsid w:val="0040791F"/>
    <w:rsid w:val="004079BA"/>
    <w:rsid w:val="004117BD"/>
    <w:rsid w:val="00411977"/>
    <w:rsid w:val="00411B94"/>
    <w:rsid w:val="00411E53"/>
    <w:rsid w:val="004121B2"/>
    <w:rsid w:val="00413996"/>
    <w:rsid w:val="00413F19"/>
    <w:rsid w:val="00414256"/>
    <w:rsid w:val="00416B22"/>
    <w:rsid w:val="00416D1A"/>
    <w:rsid w:val="004175EF"/>
    <w:rsid w:val="00417D6D"/>
    <w:rsid w:val="00420F41"/>
    <w:rsid w:val="004212CC"/>
    <w:rsid w:val="00424080"/>
    <w:rsid w:val="004241A3"/>
    <w:rsid w:val="0042521C"/>
    <w:rsid w:val="00426B45"/>
    <w:rsid w:val="00426E07"/>
    <w:rsid w:val="00431933"/>
    <w:rsid w:val="0043218A"/>
    <w:rsid w:val="0043267B"/>
    <w:rsid w:val="00432D6B"/>
    <w:rsid w:val="00433033"/>
    <w:rsid w:val="00434328"/>
    <w:rsid w:val="00434F7A"/>
    <w:rsid w:val="00435400"/>
    <w:rsid w:val="0043738A"/>
    <w:rsid w:val="004374D3"/>
    <w:rsid w:val="0044088A"/>
    <w:rsid w:val="00440998"/>
    <w:rsid w:val="0044391B"/>
    <w:rsid w:val="00443BAE"/>
    <w:rsid w:val="00444591"/>
    <w:rsid w:val="00444AF2"/>
    <w:rsid w:val="00444F24"/>
    <w:rsid w:val="00445402"/>
    <w:rsid w:val="00445EA1"/>
    <w:rsid w:val="0045172C"/>
    <w:rsid w:val="00451D2D"/>
    <w:rsid w:val="004533E0"/>
    <w:rsid w:val="00453501"/>
    <w:rsid w:val="00453C4D"/>
    <w:rsid w:val="00456987"/>
    <w:rsid w:val="004571CE"/>
    <w:rsid w:val="00461270"/>
    <w:rsid w:val="0046134D"/>
    <w:rsid w:val="004620F8"/>
    <w:rsid w:val="00462160"/>
    <w:rsid w:val="00462A17"/>
    <w:rsid w:val="00462C6A"/>
    <w:rsid w:val="00463C78"/>
    <w:rsid w:val="00465B6B"/>
    <w:rsid w:val="0046740C"/>
    <w:rsid w:val="0046746E"/>
    <w:rsid w:val="004679BE"/>
    <w:rsid w:val="004704F5"/>
    <w:rsid w:val="004708A9"/>
    <w:rsid w:val="00470B86"/>
    <w:rsid w:val="004713FE"/>
    <w:rsid w:val="0047203F"/>
    <w:rsid w:val="00472746"/>
    <w:rsid w:val="004735BC"/>
    <w:rsid w:val="00474090"/>
    <w:rsid w:val="0047418E"/>
    <w:rsid w:val="00475F51"/>
    <w:rsid w:val="00476893"/>
    <w:rsid w:val="004810C1"/>
    <w:rsid w:val="004820D3"/>
    <w:rsid w:val="00482450"/>
    <w:rsid w:val="00484C97"/>
    <w:rsid w:val="00484EF8"/>
    <w:rsid w:val="00485047"/>
    <w:rsid w:val="004857CD"/>
    <w:rsid w:val="00485855"/>
    <w:rsid w:val="004859B5"/>
    <w:rsid w:val="00486D85"/>
    <w:rsid w:val="00486E8A"/>
    <w:rsid w:val="00490267"/>
    <w:rsid w:val="0049091C"/>
    <w:rsid w:val="00490967"/>
    <w:rsid w:val="00491A05"/>
    <w:rsid w:val="00491A06"/>
    <w:rsid w:val="00491D88"/>
    <w:rsid w:val="004925C2"/>
    <w:rsid w:val="00492DFA"/>
    <w:rsid w:val="00492E12"/>
    <w:rsid w:val="0049435E"/>
    <w:rsid w:val="0049539D"/>
    <w:rsid w:val="00497E09"/>
    <w:rsid w:val="004A5333"/>
    <w:rsid w:val="004A5977"/>
    <w:rsid w:val="004A62B6"/>
    <w:rsid w:val="004A641F"/>
    <w:rsid w:val="004A6981"/>
    <w:rsid w:val="004A6F40"/>
    <w:rsid w:val="004B1103"/>
    <w:rsid w:val="004B1280"/>
    <w:rsid w:val="004B1B85"/>
    <w:rsid w:val="004B223D"/>
    <w:rsid w:val="004B2F7D"/>
    <w:rsid w:val="004B3478"/>
    <w:rsid w:val="004B3665"/>
    <w:rsid w:val="004B4514"/>
    <w:rsid w:val="004B5A8E"/>
    <w:rsid w:val="004B5EF0"/>
    <w:rsid w:val="004B67FA"/>
    <w:rsid w:val="004B6E4B"/>
    <w:rsid w:val="004B7041"/>
    <w:rsid w:val="004B7738"/>
    <w:rsid w:val="004C00F5"/>
    <w:rsid w:val="004C2147"/>
    <w:rsid w:val="004C4839"/>
    <w:rsid w:val="004C5C81"/>
    <w:rsid w:val="004D04A7"/>
    <w:rsid w:val="004D172F"/>
    <w:rsid w:val="004D18C7"/>
    <w:rsid w:val="004D2227"/>
    <w:rsid w:val="004D2F5C"/>
    <w:rsid w:val="004D31C6"/>
    <w:rsid w:val="004D3291"/>
    <w:rsid w:val="004D5511"/>
    <w:rsid w:val="004D595C"/>
    <w:rsid w:val="004D5D0A"/>
    <w:rsid w:val="004D65DF"/>
    <w:rsid w:val="004D75CA"/>
    <w:rsid w:val="004D7F71"/>
    <w:rsid w:val="004E0799"/>
    <w:rsid w:val="004E12A2"/>
    <w:rsid w:val="004E1E4D"/>
    <w:rsid w:val="004E1FEB"/>
    <w:rsid w:val="004E3069"/>
    <w:rsid w:val="004E3446"/>
    <w:rsid w:val="004E38CB"/>
    <w:rsid w:val="004E47A1"/>
    <w:rsid w:val="004E5ACF"/>
    <w:rsid w:val="004E6FCB"/>
    <w:rsid w:val="004E7AB5"/>
    <w:rsid w:val="004F037F"/>
    <w:rsid w:val="004F044A"/>
    <w:rsid w:val="004F045B"/>
    <w:rsid w:val="004F071A"/>
    <w:rsid w:val="004F0B57"/>
    <w:rsid w:val="004F10CF"/>
    <w:rsid w:val="004F1DDA"/>
    <w:rsid w:val="004F1DE3"/>
    <w:rsid w:val="004F4127"/>
    <w:rsid w:val="004F4A59"/>
    <w:rsid w:val="004F5CB0"/>
    <w:rsid w:val="004F6018"/>
    <w:rsid w:val="004F77CB"/>
    <w:rsid w:val="004F7B4B"/>
    <w:rsid w:val="004F7B53"/>
    <w:rsid w:val="004F7F5E"/>
    <w:rsid w:val="00500272"/>
    <w:rsid w:val="005003D1"/>
    <w:rsid w:val="0050062B"/>
    <w:rsid w:val="0050164E"/>
    <w:rsid w:val="00502280"/>
    <w:rsid w:val="0050318F"/>
    <w:rsid w:val="00503312"/>
    <w:rsid w:val="0050389C"/>
    <w:rsid w:val="00503A63"/>
    <w:rsid w:val="00504545"/>
    <w:rsid w:val="00506395"/>
    <w:rsid w:val="00506C61"/>
    <w:rsid w:val="00507150"/>
    <w:rsid w:val="00511FC3"/>
    <w:rsid w:val="00512430"/>
    <w:rsid w:val="005134F5"/>
    <w:rsid w:val="00514352"/>
    <w:rsid w:val="00515007"/>
    <w:rsid w:val="00515BD5"/>
    <w:rsid w:val="00516005"/>
    <w:rsid w:val="00516275"/>
    <w:rsid w:val="00516315"/>
    <w:rsid w:val="005164B8"/>
    <w:rsid w:val="00516650"/>
    <w:rsid w:val="00520495"/>
    <w:rsid w:val="00520630"/>
    <w:rsid w:val="00520A7E"/>
    <w:rsid w:val="00521B3E"/>
    <w:rsid w:val="005220D3"/>
    <w:rsid w:val="00522E07"/>
    <w:rsid w:val="005236C3"/>
    <w:rsid w:val="00523A18"/>
    <w:rsid w:val="0052411C"/>
    <w:rsid w:val="005241D8"/>
    <w:rsid w:val="00524461"/>
    <w:rsid w:val="0052484C"/>
    <w:rsid w:val="005258C8"/>
    <w:rsid w:val="005260D9"/>
    <w:rsid w:val="00530133"/>
    <w:rsid w:val="00533122"/>
    <w:rsid w:val="00534EDE"/>
    <w:rsid w:val="00535428"/>
    <w:rsid w:val="005365A9"/>
    <w:rsid w:val="00537989"/>
    <w:rsid w:val="00537E29"/>
    <w:rsid w:val="0054011A"/>
    <w:rsid w:val="0054034A"/>
    <w:rsid w:val="005404EC"/>
    <w:rsid w:val="005432A6"/>
    <w:rsid w:val="00543A26"/>
    <w:rsid w:val="0054446F"/>
    <w:rsid w:val="00544A21"/>
    <w:rsid w:val="0054501B"/>
    <w:rsid w:val="00545628"/>
    <w:rsid w:val="005467F9"/>
    <w:rsid w:val="00547BFD"/>
    <w:rsid w:val="00553D52"/>
    <w:rsid w:val="00553FE5"/>
    <w:rsid w:val="005552BD"/>
    <w:rsid w:val="005552EA"/>
    <w:rsid w:val="00555623"/>
    <w:rsid w:val="00555DBA"/>
    <w:rsid w:val="00556890"/>
    <w:rsid w:val="00562014"/>
    <w:rsid w:val="00562D61"/>
    <w:rsid w:val="00563615"/>
    <w:rsid w:val="005651DE"/>
    <w:rsid w:val="00565A8A"/>
    <w:rsid w:val="005661E4"/>
    <w:rsid w:val="00567D4B"/>
    <w:rsid w:val="00572A2A"/>
    <w:rsid w:val="00573EEA"/>
    <w:rsid w:val="005751E0"/>
    <w:rsid w:val="00575433"/>
    <w:rsid w:val="00575A8C"/>
    <w:rsid w:val="005761CF"/>
    <w:rsid w:val="005768FF"/>
    <w:rsid w:val="0057722E"/>
    <w:rsid w:val="00580651"/>
    <w:rsid w:val="00580701"/>
    <w:rsid w:val="005812BB"/>
    <w:rsid w:val="00581643"/>
    <w:rsid w:val="00584133"/>
    <w:rsid w:val="00584C19"/>
    <w:rsid w:val="00584F43"/>
    <w:rsid w:val="00586CC3"/>
    <w:rsid w:val="005903E4"/>
    <w:rsid w:val="00590B10"/>
    <w:rsid w:val="00590BB2"/>
    <w:rsid w:val="00594882"/>
    <w:rsid w:val="00594DAA"/>
    <w:rsid w:val="005A033F"/>
    <w:rsid w:val="005A0C3E"/>
    <w:rsid w:val="005A2068"/>
    <w:rsid w:val="005A38FF"/>
    <w:rsid w:val="005A3F81"/>
    <w:rsid w:val="005A44D5"/>
    <w:rsid w:val="005A4918"/>
    <w:rsid w:val="005A4AA2"/>
    <w:rsid w:val="005A4D0D"/>
    <w:rsid w:val="005A5695"/>
    <w:rsid w:val="005A61D5"/>
    <w:rsid w:val="005A64C3"/>
    <w:rsid w:val="005A6D2B"/>
    <w:rsid w:val="005A6F28"/>
    <w:rsid w:val="005B01CB"/>
    <w:rsid w:val="005B0978"/>
    <w:rsid w:val="005B1519"/>
    <w:rsid w:val="005B2195"/>
    <w:rsid w:val="005B35F9"/>
    <w:rsid w:val="005B44FD"/>
    <w:rsid w:val="005B527A"/>
    <w:rsid w:val="005B6B8D"/>
    <w:rsid w:val="005B6F13"/>
    <w:rsid w:val="005B77D9"/>
    <w:rsid w:val="005B78C9"/>
    <w:rsid w:val="005C09F1"/>
    <w:rsid w:val="005C0D35"/>
    <w:rsid w:val="005C1162"/>
    <w:rsid w:val="005C1278"/>
    <w:rsid w:val="005C20CC"/>
    <w:rsid w:val="005C2B17"/>
    <w:rsid w:val="005C3247"/>
    <w:rsid w:val="005C5A8F"/>
    <w:rsid w:val="005C6773"/>
    <w:rsid w:val="005C7FCF"/>
    <w:rsid w:val="005D02DD"/>
    <w:rsid w:val="005D438F"/>
    <w:rsid w:val="005D54B2"/>
    <w:rsid w:val="005D57FF"/>
    <w:rsid w:val="005D5E4D"/>
    <w:rsid w:val="005D6471"/>
    <w:rsid w:val="005D6D12"/>
    <w:rsid w:val="005D6ED2"/>
    <w:rsid w:val="005D7047"/>
    <w:rsid w:val="005D7D9B"/>
    <w:rsid w:val="005D7FDE"/>
    <w:rsid w:val="005E019C"/>
    <w:rsid w:val="005E0EED"/>
    <w:rsid w:val="005E1369"/>
    <w:rsid w:val="005E31AD"/>
    <w:rsid w:val="005E3274"/>
    <w:rsid w:val="005E351D"/>
    <w:rsid w:val="005E35D1"/>
    <w:rsid w:val="005E3F8F"/>
    <w:rsid w:val="005E5213"/>
    <w:rsid w:val="005E6C9F"/>
    <w:rsid w:val="005E7AF7"/>
    <w:rsid w:val="005F01A6"/>
    <w:rsid w:val="005F072D"/>
    <w:rsid w:val="005F12A3"/>
    <w:rsid w:val="005F171E"/>
    <w:rsid w:val="005F2230"/>
    <w:rsid w:val="005F27C0"/>
    <w:rsid w:val="005F3A3C"/>
    <w:rsid w:val="005F3A4A"/>
    <w:rsid w:val="005F3C0C"/>
    <w:rsid w:val="005F3D5B"/>
    <w:rsid w:val="005F4AD0"/>
    <w:rsid w:val="005F4E22"/>
    <w:rsid w:val="005F5D80"/>
    <w:rsid w:val="005F5F26"/>
    <w:rsid w:val="005F6332"/>
    <w:rsid w:val="005F7B8D"/>
    <w:rsid w:val="005F7D26"/>
    <w:rsid w:val="00601549"/>
    <w:rsid w:val="0060174C"/>
    <w:rsid w:val="00601F4D"/>
    <w:rsid w:val="0060256F"/>
    <w:rsid w:val="00602DE7"/>
    <w:rsid w:val="006043E0"/>
    <w:rsid w:val="006047CB"/>
    <w:rsid w:val="006047F3"/>
    <w:rsid w:val="00604DF1"/>
    <w:rsid w:val="00607998"/>
    <w:rsid w:val="0061114A"/>
    <w:rsid w:val="0061134D"/>
    <w:rsid w:val="0061166B"/>
    <w:rsid w:val="00611E20"/>
    <w:rsid w:val="00611F23"/>
    <w:rsid w:val="0061210E"/>
    <w:rsid w:val="00613E3B"/>
    <w:rsid w:val="006142B6"/>
    <w:rsid w:val="00615CF8"/>
    <w:rsid w:val="00617390"/>
    <w:rsid w:val="006178A8"/>
    <w:rsid w:val="0062038F"/>
    <w:rsid w:val="0062264F"/>
    <w:rsid w:val="0062494D"/>
    <w:rsid w:val="006262D9"/>
    <w:rsid w:val="00630069"/>
    <w:rsid w:val="00630340"/>
    <w:rsid w:val="00630BA9"/>
    <w:rsid w:val="00631092"/>
    <w:rsid w:val="00631975"/>
    <w:rsid w:val="006320D0"/>
    <w:rsid w:val="00633226"/>
    <w:rsid w:val="00634ADC"/>
    <w:rsid w:val="00635DA7"/>
    <w:rsid w:val="006411DD"/>
    <w:rsid w:val="00643279"/>
    <w:rsid w:val="00643ACA"/>
    <w:rsid w:val="00644677"/>
    <w:rsid w:val="006462CC"/>
    <w:rsid w:val="0064667F"/>
    <w:rsid w:val="0064693B"/>
    <w:rsid w:val="0065064F"/>
    <w:rsid w:val="006506A6"/>
    <w:rsid w:val="00651977"/>
    <w:rsid w:val="00652187"/>
    <w:rsid w:val="00660887"/>
    <w:rsid w:val="006614B3"/>
    <w:rsid w:val="00661787"/>
    <w:rsid w:val="00663751"/>
    <w:rsid w:val="00663B5E"/>
    <w:rsid w:val="00664238"/>
    <w:rsid w:val="006643AD"/>
    <w:rsid w:val="006657BC"/>
    <w:rsid w:val="00666EB0"/>
    <w:rsid w:val="0066703C"/>
    <w:rsid w:val="006675EE"/>
    <w:rsid w:val="00667812"/>
    <w:rsid w:val="006710E4"/>
    <w:rsid w:val="00671279"/>
    <w:rsid w:val="00672623"/>
    <w:rsid w:val="006732DF"/>
    <w:rsid w:val="00674B8F"/>
    <w:rsid w:val="00674C35"/>
    <w:rsid w:val="00675811"/>
    <w:rsid w:val="00676D3A"/>
    <w:rsid w:val="0068173B"/>
    <w:rsid w:val="00681BCA"/>
    <w:rsid w:val="0068419B"/>
    <w:rsid w:val="00684BD1"/>
    <w:rsid w:val="00684D2F"/>
    <w:rsid w:val="006859EE"/>
    <w:rsid w:val="0068685E"/>
    <w:rsid w:val="00687581"/>
    <w:rsid w:val="00690950"/>
    <w:rsid w:val="00691050"/>
    <w:rsid w:val="00692E6B"/>
    <w:rsid w:val="0069353D"/>
    <w:rsid w:val="006938C1"/>
    <w:rsid w:val="006945E2"/>
    <w:rsid w:val="00695581"/>
    <w:rsid w:val="006975BA"/>
    <w:rsid w:val="006A0D26"/>
    <w:rsid w:val="006A0F14"/>
    <w:rsid w:val="006A0F42"/>
    <w:rsid w:val="006A3056"/>
    <w:rsid w:val="006A3643"/>
    <w:rsid w:val="006A3B32"/>
    <w:rsid w:val="006A4B15"/>
    <w:rsid w:val="006A506D"/>
    <w:rsid w:val="006A55CD"/>
    <w:rsid w:val="006A5F69"/>
    <w:rsid w:val="006A6C08"/>
    <w:rsid w:val="006B2301"/>
    <w:rsid w:val="006B2735"/>
    <w:rsid w:val="006B4410"/>
    <w:rsid w:val="006B5455"/>
    <w:rsid w:val="006B61C7"/>
    <w:rsid w:val="006B6C58"/>
    <w:rsid w:val="006B6D79"/>
    <w:rsid w:val="006B7DF2"/>
    <w:rsid w:val="006C1136"/>
    <w:rsid w:val="006C15A7"/>
    <w:rsid w:val="006C23D1"/>
    <w:rsid w:val="006C2409"/>
    <w:rsid w:val="006C2CB2"/>
    <w:rsid w:val="006C3189"/>
    <w:rsid w:val="006C362B"/>
    <w:rsid w:val="006C3A9D"/>
    <w:rsid w:val="006C55C4"/>
    <w:rsid w:val="006C7DF2"/>
    <w:rsid w:val="006D03F3"/>
    <w:rsid w:val="006D0DDB"/>
    <w:rsid w:val="006D11FA"/>
    <w:rsid w:val="006D1D35"/>
    <w:rsid w:val="006D1FCE"/>
    <w:rsid w:val="006D21C8"/>
    <w:rsid w:val="006D2397"/>
    <w:rsid w:val="006D303D"/>
    <w:rsid w:val="006D3171"/>
    <w:rsid w:val="006D53B1"/>
    <w:rsid w:val="006D554E"/>
    <w:rsid w:val="006D61A3"/>
    <w:rsid w:val="006D6791"/>
    <w:rsid w:val="006D751F"/>
    <w:rsid w:val="006D7708"/>
    <w:rsid w:val="006D7B51"/>
    <w:rsid w:val="006D7F40"/>
    <w:rsid w:val="006E0B29"/>
    <w:rsid w:val="006E1033"/>
    <w:rsid w:val="006E1EBF"/>
    <w:rsid w:val="006E335F"/>
    <w:rsid w:val="006E3E15"/>
    <w:rsid w:val="006E5C71"/>
    <w:rsid w:val="006E79D9"/>
    <w:rsid w:val="006F0E90"/>
    <w:rsid w:val="006F175A"/>
    <w:rsid w:val="006F1C98"/>
    <w:rsid w:val="006F2791"/>
    <w:rsid w:val="006F323E"/>
    <w:rsid w:val="006F4578"/>
    <w:rsid w:val="006F7FB0"/>
    <w:rsid w:val="00700A7A"/>
    <w:rsid w:val="00700C76"/>
    <w:rsid w:val="00702682"/>
    <w:rsid w:val="00702A21"/>
    <w:rsid w:val="00702F23"/>
    <w:rsid w:val="0070320C"/>
    <w:rsid w:val="0070522A"/>
    <w:rsid w:val="00706174"/>
    <w:rsid w:val="00711C9C"/>
    <w:rsid w:val="00713F79"/>
    <w:rsid w:val="007145F1"/>
    <w:rsid w:val="007146EA"/>
    <w:rsid w:val="0071479C"/>
    <w:rsid w:val="0071541E"/>
    <w:rsid w:val="007178BF"/>
    <w:rsid w:val="00717D86"/>
    <w:rsid w:val="0072000E"/>
    <w:rsid w:val="007207C7"/>
    <w:rsid w:val="00722068"/>
    <w:rsid w:val="00722338"/>
    <w:rsid w:val="00723259"/>
    <w:rsid w:val="0072396F"/>
    <w:rsid w:val="00723AA6"/>
    <w:rsid w:val="007249B4"/>
    <w:rsid w:val="007267CA"/>
    <w:rsid w:val="00726BF7"/>
    <w:rsid w:val="0072738C"/>
    <w:rsid w:val="00727441"/>
    <w:rsid w:val="00727E72"/>
    <w:rsid w:val="00730407"/>
    <w:rsid w:val="00730495"/>
    <w:rsid w:val="00730970"/>
    <w:rsid w:val="00730F67"/>
    <w:rsid w:val="00731B5E"/>
    <w:rsid w:val="00732AF9"/>
    <w:rsid w:val="00733875"/>
    <w:rsid w:val="00733D2B"/>
    <w:rsid w:val="00733EB8"/>
    <w:rsid w:val="00734D05"/>
    <w:rsid w:val="0073568A"/>
    <w:rsid w:val="00735A46"/>
    <w:rsid w:val="0073664D"/>
    <w:rsid w:val="00737B42"/>
    <w:rsid w:val="007401AF"/>
    <w:rsid w:val="0074052E"/>
    <w:rsid w:val="00741B82"/>
    <w:rsid w:val="00744FAB"/>
    <w:rsid w:val="00745BCF"/>
    <w:rsid w:val="00745CC8"/>
    <w:rsid w:val="00747906"/>
    <w:rsid w:val="00747BD8"/>
    <w:rsid w:val="00747E8B"/>
    <w:rsid w:val="0075053D"/>
    <w:rsid w:val="00751131"/>
    <w:rsid w:val="00751AF8"/>
    <w:rsid w:val="00752019"/>
    <w:rsid w:val="00752F6B"/>
    <w:rsid w:val="00753435"/>
    <w:rsid w:val="0075391B"/>
    <w:rsid w:val="00756B19"/>
    <w:rsid w:val="007573A1"/>
    <w:rsid w:val="00757956"/>
    <w:rsid w:val="0076046A"/>
    <w:rsid w:val="00761C10"/>
    <w:rsid w:val="0076312E"/>
    <w:rsid w:val="007633BB"/>
    <w:rsid w:val="0076390C"/>
    <w:rsid w:val="00763CED"/>
    <w:rsid w:val="00763D9B"/>
    <w:rsid w:val="007642F4"/>
    <w:rsid w:val="007644B1"/>
    <w:rsid w:val="007663D0"/>
    <w:rsid w:val="007668E9"/>
    <w:rsid w:val="00767F8C"/>
    <w:rsid w:val="00770ABF"/>
    <w:rsid w:val="00770DD9"/>
    <w:rsid w:val="00772964"/>
    <w:rsid w:val="00772EDA"/>
    <w:rsid w:val="00773052"/>
    <w:rsid w:val="00773181"/>
    <w:rsid w:val="00773330"/>
    <w:rsid w:val="007736D5"/>
    <w:rsid w:val="00773E95"/>
    <w:rsid w:val="00776EB1"/>
    <w:rsid w:val="00777234"/>
    <w:rsid w:val="00777E8A"/>
    <w:rsid w:val="0078102C"/>
    <w:rsid w:val="0078159C"/>
    <w:rsid w:val="007815C2"/>
    <w:rsid w:val="00782729"/>
    <w:rsid w:val="007827DE"/>
    <w:rsid w:val="007829C8"/>
    <w:rsid w:val="00784481"/>
    <w:rsid w:val="0078562F"/>
    <w:rsid w:val="00785836"/>
    <w:rsid w:val="00787819"/>
    <w:rsid w:val="00787F50"/>
    <w:rsid w:val="007909C6"/>
    <w:rsid w:val="00791442"/>
    <w:rsid w:val="00791961"/>
    <w:rsid w:val="00793F44"/>
    <w:rsid w:val="007944FD"/>
    <w:rsid w:val="00797FCF"/>
    <w:rsid w:val="007A014E"/>
    <w:rsid w:val="007A06A1"/>
    <w:rsid w:val="007A08D3"/>
    <w:rsid w:val="007A092E"/>
    <w:rsid w:val="007A1D09"/>
    <w:rsid w:val="007A3953"/>
    <w:rsid w:val="007A470F"/>
    <w:rsid w:val="007A5116"/>
    <w:rsid w:val="007A59B9"/>
    <w:rsid w:val="007A5C61"/>
    <w:rsid w:val="007A5CFC"/>
    <w:rsid w:val="007A5DB0"/>
    <w:rsid w:val="007A6565"/>
    <w:rsid w:val="007A6782"/>
    <w:rsid w:val="007A6F28"/>
    <w:rsid w:val="007A7668"/>
    <w:rsid w:val="007A7E1F"/>
    <w:rsid w:val="007B002D"/>
    <w:rsid w:val="007B364C"/>
    <w:rsid w:val="007B3A75"/>
    <w:rsid w:val="007B5814"/>
    <w:rsid w:val="007B6CB4"/>
    <w:rsid w:val="007B7BDB"/>
    <w:rsid w:val="007C441F"/>
    <w:rsid w:val="007C4479"/>
    <w:rsid w:val="007C4611"/>
    <w:rsid w:val="007C461C"/>
    <w:rsid w:val="007D0C54"/>
    <w:rsid w:val="007D158A"/>
    <w:rsid w:val="007D220A"/>
    <w:rsid w:val="007D28ED"/>
    <w:rsid w:val="007D338F"/>
    <w:rsid w:val="007D3F5A"/>
    <w:rsid w:val="007D44F5"/>
    <w:rsid w:val="007D49BF"/>
    <w:rsid w:val="007D52EC"/>
    <w:rsid w:val="007D569B"/>
    <w:rsid w:val="007D5711"/>
    <w:rsid w:val="007D6EE2"/>
    <w:rsid w:val="007D7E95"/>
    <w:rsid w:val="007E06AE"/>
    <w:rsid w:val="007E0B59"/>
    <w:rsid w:val="007E1AAB"/>
    <w:rsid w:val="007E27F5"/>
    <w:rsid w:val="007E4C55"/>
    <w:rsid w:val="007E5572"/>
    <w:rsid w:val="007E7344"/>
    <w:rsid w:val="007F0959"/>
    <w:rsid w:val="007F1D31"/>
    <w:rsid w:val="007F1DD2"/>
    <w:rsid w:val="007F1F6E"/>
    <w:rsid w:val="007F463A"/>
    <w:rsid w:val="007F4BBC"/>
    <w:rsid w:val="007F53BA"/>
    <w:rsid w:val="007F6068"/>
    <w:rsid w:val="007F79E3"/>
    <w:rsid w:val="008016C9"/>
    <w:rsid w:val="00802801"/>
    <w:rsid w:val="00802834"/>
    <w:rsid w:val="00802FCB"/>
    <w:rsid w:val="00803BC0"/>
    <w:rsid w:val="008044F8"/>
    <w:rsid w:val="00804A47"/>
    <w:rsid w:val="00805AF2"/>
    <w:rsid w:val="00805F36"/>
    <w:rsid w:val="00810D28"/>
    <w:rsid w:val="00810D7C"/>
    <w:rsid w:val="00810E3F"/>
    <w:rsid w:val="0081248A"/>
    <w:rsid w:val="00813A22"/>
    <w:rsid w:val="00813B12"/>
    <w:rsid w:val="00813BDA"/>
    <w:rsid w:val="00814351"/>
    <w:rsid w:val="008151DF"/>
    <w:rsid w:val="00815B51"/>
    <w:rsid w:val="00816176"/>
    <w:rsid w:val="0081738F"/>
    <w:rsid w:val="00817E41"/>
    <w:rsid w:val="008213D0"/>
    <w:rsid w:val="00822997"/>
    <w:rsid w:val="00823000"/>
    <w:rsid w:val="00823FB8"/>
    <w:rsid w:val="00824993"/>
    <w:rsid w:val="00825487"/>
    <w:rsid w:val="0082683B"/>
    <w:rsid w:val="00826937"/>
    <w:rsid w:val="008301F0"/>
    <w:rsid w:val="00831541"/>
    <w:rsid w:val="00832045"/>
    <w:rsid w:val="008334D7"/>
    <w:rsid w:val="00833565"/>
    <w:rsid w:val="008335B2"/>
    <w:rsid w:val="008355B1"/>
    <w:rsid w:val="008360DD"/>
    <w:rsid w:val="00840967"/>
    <w:rsid w:val="00840EA0"/>
    <w:rsid w:val="0084183E"/>
    <w:rsid w:val="00841885"/>
    <w:rsid w:val="00841C1C"/>
    <w:rsid w:val="008421A4"/>
    <w:rsid w:val="008424A5"/>
    <w:rsid w:val="00843095"/>
    <w:rsid w:val="00843644"/>
    <w:rsid w:val="008438DC"/>
    <w:rsid w:val="008449BB"/>
    <w:rsid w:val="00844AFD"/>
    <w:rsid w:val="00845F6B"/>
    <w:rsid w:val="00846BCB"/>
    <w:rsid w:val="00847301"/>
    <w:rsid w:val="00851A56"/>
    <w:rsid w:val="00851C36"/>
    <w:rsid w:val="00852A18"/>
    <w:rsid w:val="00853244"/>
    <w:rsid w:val="00853F71"/>
    <w:rsid w:val="0085412C"/>
    <w:rsid w:val="008546B8"/>
    <w:rsid w:val="00854743"/>
    <w:rsid w:val="00854D63"/>
    <w:rsid w:val="008551B7"/>
    <w:rsid w:val="008575C1"/>
    <w:rsid w:val="008576D4"/>
    <w:rsid w:val="008611A4"/>
    <w:rsid w:val="0086150F"/>
    <w:rsid w:val="0086371C"/>
    <w:rsid w:val="0086444B"/>
    <w:rsid w:val="008645A5"/>
    <w:rsid w:val="00864E44"/>
    <w:rsid w:val="00864EC6"/>
    <w:rsid w:val="00865ABA"/>
    <w:rsid w:val="008666C0"/>
    <w:rsid w:val="0086675B"/>
    <w:rsid w:val="00867579"/>
    <w:rsid w:val="008677D2"/>
    <w:rsid w:val="00867AB8"/>
    <w:rsid w:val="0087006A"/>
    <w:rsid w:val="00870938"/>
    <w:rsid w:val="00870A9B"/>
    <w:rsid w:val="00871572"/>
    <w:rsid w:val="008715CC"/>
    <w:rsid w:val="00873472"/>
    <w:rsid w:val="008737D7"/>
    <w:rsid w:val="0087399D"/>
    <w:rsid w:val="00873CE2"/>
    <w:rsid w:val="00874BB9"/>
    <w:rsid w:val="008774CD"/>
    <w:rsid w:val="008777A1"/>
    <w:rsid w:val="00883F84"/>
    <w:rsid w:val="0088489B"/>
    <w:rsid w:val="0088507F"/>
    <w:rsid w:val="008865D9"/>
    <w:rsid w:val="00886CA7"/>
    <w:rsid w:val="0088726F"/>
    <w:rsid w:val="00890C35"/>
    <w:rsid w:val="00893DDF"/>
    <w:rsid w:val="00894A40"/>
    <w:rsid w:val="00894CDE"/>
    <w:rsid w:val="00896421"/>
    <w:rsid w:val="00897092"/>
    <w:rsid w:val="00897800"/>
    <w:rsid w:val="008A0774"/>
    <w:rsid w:val="008A27FA"/>
    <w:rsid w:val="008A54C8"/>
    <w:rsid w:val="008A7508"/>
    <w:rsid w:val="008A7CA9"/>
    <w:rsid w:val="008B0583"/>
    <w:rsid w:val="008B07B3"/>
    <w:rsid w:val="008B16C2"/>
    <w:rsid w:val="008B2E91"/>
    <w:rsid w:val="008B361E"/>
    <w:rsid w:val="008B4373"/>
    <w:rsid w:val="008B6EB8"/>
    <w:rsid w:val="008B7C24"/>
    <w:rsid w:val="008C15D3"/>
    <w:rsid w:val="008C18AB"/>
    <w:rsid w:val="008C343B"/>
    <w:rsid w:val="008C3FA0"/>
    <w:rsid w:val="008C4226"/>
    <w:rsid w:val="008C47BC"/>
    <w:rsid w:val="008C49C2"/>
    <w:rsid w:val="008C4B73"/>
    <w:rsid w:val="008C6FDB"/>
    <w:rsid w:val="008C7924"/>
    <w:rsid w:val="008D00C1"/>
    <w:rsid w:val="008D11DE"/>
    <w:rsid w:val="008D3EF7"/>
    <w:rsid w:val="008D4552"/>
    <w:rsid w:val="008D7760"/>
    <w:rsid w:val="008D7D03"/>
    <w:rsid w:val="008E0259"/>
    <w:rsid w:val="008E0F4C"/>
    <w:rsid w:val="008E17AA"/>
    <w:rsid w:val="008E1A7B"/>
    <w:rsid w:val="008E2607"/>
    <w:rsid w:val="008E2E3F"/>
    <w:rsid w:val="008E2F0F"/>
    <w:rsid w:val="008E4D50"/>
    <w:rsid w:val="008E5DBB"/>
    <w:rsid w:val="008E757B"/>
    <w:rsid w:val="008F0B1E"/>
    <w:rsid w:val="008F1A5C"/>
    <w:rsid w:val="008F1B49"/>
    <w:rsid w:val="008F2466"/>
    <w:rsid w:val="008F3F04"/>
    <w:rsid w:val="008F3F13"/>
    <w:rsid w:val="008F5F18"/>
    <w:rsid w:val="008F674E"/>
    <w:rsid w:val="00901436"/>
    <w:rsid w:val="0090150E"/>
    <w:rsid w:val="0090193D"/>
    <w:rsid w:val="00901E6D"/>
    <w:rsid w:val="00903B5A"/>
    <w:rsid w:val="00903C95"/>
    <w:rsid w:val="009040A9"/>
    <w:rsid w:val="00904887"/>
    <w:rsid w:val="0090491C"/>
    <w:rsid w:val="00905101"/>
    <w:rsid w:val="00906739"/>
    <w:rsid w:val="00910F9B"/>
    <w:rsid w:val="00911D75"/>
    <w:rsid w:val="0091232C"/>
    <w:rsid w:val="00913F5D"/>
    <w:rsid w:val="0091519E"/>
    <w:rsid w:val="0091665D"/>
    <w:rsid w:val="00916BE7"/>
    <w:rsid w:val="00917380"/>
    <w:rsid w:val="00917A11"/>
    <w:rsid w:val="00920299"/>
    <w:rsid w:val="009214EF"/>
    <w:rsid w:val="00921947"/>
    <w:rsid w:val="00921E9D"/>
    <w:rsid w:val="00922F52"/>
    <w:rsid w:val="00923146"/>
    <w:rsid w:val="009235F2"/>
    <w:rsid w:val="009240C2"/>
    <w:rsid w:val="00925D34"/>
    <w:rsid w:val="0092693D"/>
    <w:rsid w:val="00927306"/>
    <w:rsid w:val="009275D9"/>
    <w:rsid w:val="00930988"/>
    <w:rsid w:val="00930DA1"/>
    <w:rsid w:val="0093146F"/>
    <w:rsid w:val="009314EE"/>
    <w:rsid w:val="009320EA"/>
    <w:rsid w:val="00932819"/>
    <w:rsid w:val="0093294B"/>
    <w:rsid w:val="00932C7B"/>
    <w:rsid w:val="00933DFC"/>
    <w:rsid w:val="00934251"/>
    <w:rsid w:val="00941EFB"/>
    <w:rsid w:val="009425FA"/>
    <w:rsid w:val="009434BA"/>
    <w:rsid w:val="00944EBA"/>
    <w:rsid w:val="0094525E"/>
    <w:rsid w:val="00946395"/>
    <w:rsid w:val="00946D12"/>
    <w:rsid w:val="0094701E"/>
    <w:rsid w:val="0095015D"/>
    <w:rsid w:val="0095257E"/>
    <w:rsid w:val="00955012"/>
    <w:rsid w:val="00955FEE"/>
    <w:rsid w:val="009623C5"/>
    <w:rsid w:val="00963061"/>
    <w:rsid w:val="00963226"/>
    <w:rsid w:val="00963901"/>
    <w:rsid w:val="00964B76"/>
    <w:rsid w:val="00964F6A"/>
    <w:rsid w:val="00965370"/>
    <w:rsid w:val="00965E58"/>
    <w:rsid w:val="00967606"/>
    <w:rsid w:val="009677E6"/>
    <w:rsid w:val="00967DEF"/>
    <w:rsid w:val="00967F3F"/>
    <w:rsid w:val="009701CF"/>
    <w:rsid w:val="00970889"/>
    <w:rsid w:val="00971FB4"/>
    <w:rsid w:val="00972EC3"/>
    <w:rsid w:val="0097313F"/>
    <w:rsid w:val="00973E1D"/>
    <w:rsid w:val="00974E07"/>
    <w:rsid w:val="00975683"/>
    <w:rsid w:val="00976799"/>
    <w:rsid w:val="00976F0E"/>
    <w:rsid w:val="0097743D"/>
    <w:rsid w:val="009776F8"/>
    <w:rsid w:val="00981346"/>
    <w:rsid w:val="00981ED9"/>
    <w:rsid w:val="0098230D"/>
    <w:rsid w:val="0098282D"/>
    <w:rsid w:val="00982C8E"/>
    <w:rsid w:val="009832B9"/>
    <w:rsid w:val="0098368F"/>
    <w:rsid w:val="00983BBA"/>
    <w:rsid w:val="00983C0A"/>
    <w:rsid w:val="00983F36"/>
    <w:rsid w:val="0098409A"/>
    <w:rsid w:val="00984420"/>
    <w:rsid w:val="0098454A"/>
    <w:rsid w:val="009857C1"/>
    <w:rsid w:val="00985F06"/>
    <w:rsid w:val="00987140"/>
    <w:rsid w:val="00990007"/>
    <w:rsid w:val="00992541"/>
    <w:rsid w:val="0099345E"/>
    <w:rsid w:val="00997179"/>
    <w:rsid w:val="00997F9E"/>
    <w:rsid w:val="009A08C6"/>
    <w:rsid w:val="009A0E1E"/>
    <w:rsid w:val="009A1E8B"/>
    <w:rsid w:val="009A2337"/>
    <w:rsid w:val="009A28FC"/>
    <w:rsid w:val="009A3248"/>
    <w:rsid w:val="009A36DB"/>
    <w:rsid w:val="009A3B8D"/>
    <w:rsid w:val="009A3D3A"/>
    <w:rsid w:val="009A3D42"/>
    <w:rsid w:val="009A4808"/>
    <w:rsid w:val="009A4CED"/>
    <w:rsid w:val="009A5F30"/>
    <w:rsid w:val="009A5F50"/>
    <w:rsid w:val="009A632E"/>
    <w:rsid w:val="009A7116"/>
    <w:rsid w:val="009A733A"/>
    <w:rsid w:val="009B2FAF"/>
    <w:rsid w:val="009B32A0"/>
    <w:rsid w:val="009B37A1"/>
    <w:rsid w:val="009B478C"/>
    <w:rsid w:val="009B584D"/>
    <w:rsid w:val="009B640D"/>
    <w:rsid w:val="009B7153"/>
    <w:rsid w:val="009B72F0"/>
    <w:rsid w:val="009B79C0"/>
    <w:rsid w:val="009B7EAB"/>
    <w:rsid w:val="009C018E"/>
    <w:rsid w:val="009C29A2"/>
    <w:rsid w:val="009C2A9A"/>
    <w:rsid w:val="009C2C4A"/>
    <w:rsid w:val="009C32F6"/>
    <w:rsid w:val="009C3B49"/>
    <w:rsid w:val="009C3BDC"/>
    <w:rsid w:val="009C4911"/>
    <w:rsid w:val="009C6540"/>
    <w:rsid w:val="009C6FCB"/>
    <w:rsid w:val="009C7CE5"/>
    <w:rsid w:val="009D2B6A"/>
    <w:rsid w:val="009D50DF"/>
    <w:rsid w:val="009D5304"/>
    <w:rsid w:val="009D5DF2"/>
    <w:rsid w:val="009D6613"/>
    <w:rsid w:val="009D7358"/>
    <w:rsid w:val="009D7489"/>
    <w:rsid w:val="009E0BBD"/>
    <w:rsid w:val="009E0D06"/>
    <w:rsid w:val="009E1C6A"/>
    <w:rsid w:val="009E2908"/>
    <w:rsid w:val="009E2D00"/>
    <w:rsid w:val="009E4B92"/>
    <w:rsid w:val="009E7065"/>
    <w:rsid w:val="009E7620"/>
    <w:rsid w:val="009F2241"/>
    <w:rsid w:val="009F354D"/>
    <w:rsid w:val="009F455C"/>
    <w:rsid w:val="009F524B"/>
    <w:rsid w:val="009F78EF"/>
    <w:rsid w:val="00A00244"/>
    <w:rsid w:val="00A00768"/>
    <w:rsid w:val="00A02577"/>
    <w:rsid w:val="00A027E7"/>
    <w:rsid w:val="00A02896"/>
    <w:rsid w:val="00A03F56"/>
    <w:rsid w:val="00A04436"/>
    <w:rsid w:val="00A04AB5"/>
    <w:rsid w:val="00A0596B"/>
    <w:rsid w:val="00A06140"/>
    <w:rsid w:val="00A06879"/>
    <w:rsid w:val="00A07A5C"/>
    <w:rsid w:val="00A07EAA"/>
    <w:rsid w:val="00A11DA8"/>
    <w:rsid w:val="00A1293E"/>
    <w:rsid w:val="00A13DD9"/>
    <w:rsid w:val="00A14542"/>
    <w:rsid w:val="00A161D0"/>
    <w:rsid w:val="00A16A43"/>
    <w:rsid w:val="00A17CE8"/>
    <w:rsid w:val="00A218A6"/>
    <w:rsid w:val="00A21CD2"/>
    <w:rsid w:val="00A22ABC"/>
    <w:rsid w:val="00A23A8C"/>
    <w:rsid w:val="00A23B8E"/>
    <w:rsid w:val="00A27574"/>
    <w:rsid w:val="00A32296"/>
    <w:rsid w:val="00A3254E"/>
    <w:rsid w:val="00A327D1"/>
    <w:rsid w:val="00A32FCC"/>
    <w:rsid w:val="00A3317D"/>
    <w:rsid w:val="00A3458A"/>
    <w:rsid w:val="00A34982"/>
    <w:rsid w:val="00A35E3B"/>
    <w:rsid w:val="00A37F28"/>
    <w:rsid w:val="00A407E3"/>
    <w:rsid w:val="00A40873"/>
    <w:rsid w:val="00A40BA6"/>
    <w:rsid w:val="00A41C6B"/>
    <w:rsid w:val="00A42CA6"/>
    <w:rsid w:val="00A43CC9"/>
    <w:rsid w:val="00A453CB"/>
    <w:rsid w:val="00A45B64"/>
    <w:rsid w:val="00A464C3"/>
    <w:rsid w:val="00A4724F"/>
    <w:rsid w:val="00A47DF3"/>
    <w:rsid w:val="00A50678"/>
    <w:rsid w:val="00A52AA2"/>
    <w:rsid w:val="00A53C36"/>
    <w:rsid w:val="00A545E3"/>
    <w:rsid w:val="00A54D5D"/>
    <w:rsid w:val="00A5515B"/>
    <w:rsid w:val="00A55B5D"/>
    <w:rsid w:val="00A55FF7"/>
    <w:rsid w:val="00A56A0D"/>
    <w:rsid w:val="00A57488"/>
    <w:rsid w:val="00A60CDE"/>
    <w:rsid w:val="00A61C26"/>
    <w:rsid w:val="00A61FAC"/>
    <w:rsid w:val="00A626A9"/>
    <w:rsid w:val="00A63E49"/>
    <w:rsid w:val="00A64A66"/>
    <w:rsid w:val="00A6525D"/>
    <w:rsid w:val="00A66439"/>
    <w:rsid w:val="00A667D6"/>
    <w:rsid w:val="00A67EAC"/>
    <w:rsid w:val="00A70358"/>
    <w:rsid w:val="00A70B3E"/>
    <w:rsid w:val="00A70FCA"/>
    <w:rsid w:val="00A723D1"/>
    <w:rsid w:val="00A724C3"/>
    <w:rsid w:val="00A73668"/>
    <w:rsid w:val="00A7447B"/>
    <w:rsid w:val="00A76296"/>
    <w:rsid w:val="00A7697B"/>
    <w:rsid w:val="00A81562"/>
    <w:rsid w:val="00A81F5C"/>
    <w:rsid w:val="00A83A6A"/>
    <w:rsid w:val="00A84DFB"/>
    <w:rsid w:val="00A8541B"/>
    <w:rsid w:val="00A85FDA"/>
    <w:rsid w:val="00A8681D"/>
    <w:rsid w:val="00A902D9"/>
    <w:rsid w:val="00A90C8E"/>
    <w:rsid w:val="00A9108C"/>
    <w:rsid w:val="00A91168"/>
    <w:rsid w:val="00A9153A"/>
    <w:rsid w:val="00A91A1B"/>
    <w:rsid w:val="00A92519"/>
    <w:rsid w:val="00A967C5"/>
    <w:rsid w:val="00A96E0F"/>
    <w:rsid w:val="00A9780D"/>
    <w:rsid w:val="00AA0643"/>
    <w:rsid w:val="00AA13CB"/>
    <w:rsid w:val="00AA27BE"/>
    <w:rsid w:val="00AA304F"/>
    <w:rsid w:val="00AA3CFE"/>
    <w:rsid w:val="00AA4538"/>
    <w:rsid w:val="00AA481F"/>
    <w:rsid w:val="00AA5873"/>
    <w:rsid w:val="00AB02DE"/>
    <w:rsid w:val="00AB15B0"/>
    <w:rsid w:val="00AB2B32"/>
    <w:rsid w:val="00AB2ED3"/>
    <w:rsid w:val="00AB315B"/>
    <w:rsid w:val="00AB4371"/>
    <w:rsid w:val="00AB4C75"/>
    <w:rsid w:val="00AB4F3B"/>
    <w:rsid w:val="00AB579C"/>
    <w:rsid w:val="00AB5822"/>
    <w:rsid w:val="00AB5985"/>
    <w:rsid w:val="00AB6AF8"/>
    <w:rsid w:val="00AB771B"/>
    <w:rsid w:val="00AC01C4"/>
    <w:rsid w:val="00AC0719"/>
    <w:rsid w:val="00AC10FC"/>
    <w:rsid w:val="00AC12F9"/>
    <w:rsid w:val="00AC1762"/>
    <w:rsid w:val="00AC1BA9"/>
    <w:rsid w:val="00AC3158"/>
    <w:rsid w:val="00AC38EE"/>
    <w:rsid w:val="00AC46F5"/>
    <w:rsid w:val="00AC48C2"/>
    <w:rsid w:val="00AC5A02"/>
    <w:rsid w:val="00AC644B"/>
    <w:rsid w:val="00AC773B"/>
    <w:rsid w:val="00AD139E"/>
    <w:rsid w:val="00AD2C9E"/>
    <w:rsid w:val="00AD2CF4"/>
    <w:rsid w:val="00AD40C9"/>
    <w:rsid w:val="00AD442F"/>
    <w:rsid w:val="00AD4E46"/>
    <w:rsid w:val="00AD522E"/>
    <w:rsid w:val="00AD60FC"/>
    <w:rsid w:val="00AD6F4F"/>
    <w:rsid w:val="00AD7112"/>
    <w:rsid w:val="00AD7EA5"/>
    <w:rsid w:val="00AE0590"/>
    <w:rsid w:val="00AE10C6"/>
    <w:rsid w:val="00AE1788"/>
    <w:rsid w:val="00AE183D"/>
    <w:rsid w:val="00AE1B25"/>
    <w:rsid w:val="00AE27E1"/>
    <w:rsid w:val="00AE3530"/>
    <w:rsid w:val="00AE35A8"/>
    <w:rsid w:val="00AE3C2C"/>
    <w:rsid w:val="00AE7320"/>
    <w:rsid w:val="00AF15C8"/>
    <w:rsid w:val="00AF1E30"/>
    <w:rsid w:val="00AF1F86"/>
    <w:rsid w:val="00AF20DE"/>
    <w:rsid w:val="00AF26A8"/>
    <w:rsid w:val="00AF331C"/>
    <w:rsid w:val="00AF332A"/>
    <w:rsid w:val="00AF3867"/>
    <w:rsid w:val="00AF4542"/>
    <w:rsid w:val="00AF45D0"/>
    <w:rsid w:val="00AF4CF6"/>
    <w:rsid w:val="00AF71DA"/>
    <w:rsid w:val="00B00B60"/>
    <w:rsid w:val="00B012A5"/>
    <w:rsid w:val="00B0157E"/>
    <w:rsid w:val="00B02BBA"/>
    <w:rsid w:val="00B02FF5"/>
    <w:rsid w:val="00B03C98"/>
    <w:rsid w:val="00B04C8C"/>
    <w:rsid w:val="00B05970"/>
    <w:rsid w:val="00B064BA"/>
    <w:rsid w:val="00B135AC"/>
    <w:rsid w:val="00B13847"/>
    <w:rsid w:val="00B153CC"/>
    <w:rsid w:val="00B16DBA"/>
    <w:rsid w:val="00B1782C"/>
    <w:rsid w:val="00B217B0"/>
    <w:rsid w:val="00B21F09"/>
    <w:rsid w:val="00B23019"/>
    <w:rsid w:val="00B23423"/>
    <w:rsid w:val="00B25971"/>
    <w:rsid w:val="00B27212"/>
    <w:rsid w:val="00B27817"/>
    <w:rsid w:val="00B30B72"/>
    <w:rsid w:val="00B31D50"/>
    <w:rsid w:val="00B3327F"/>
    <w:rsid w:val="00B33AD1"/>
    <w:rsid w:val="00B34A88"/>
    <w:rsid w:val="00B3539C"/>
    <w:rsid w:val="00B35D3C"/>
    <w:rsid w:val="00B35FC6"/>
    <w:rsid w:val="00B37163"/>
    <w:rsid w:val="00B37F1A"/>
    <w:rsid w:val="00B41633"/>
    <w:rsid w:val="00B41B44"/>
    <w:rsid w:val="00B41E69"/>
    <w:rsid w:val="00B42295"/>
    <w:rsid w:val="00B4344F"/>
    <w:rsid w:val="00B44790"/>
    <w:rsid w:val="00B4479F"/>
    <w:rsid w:val="00B44BEF"/>
    <w:rsid w:val="00B44CF8"/>
    <w:rsid w:val="00B45821"/>
    <w:rsid w:val="00B46D08"/>
    <w:rsid w:val="00B47179"/>
    <w:rsid w:val="00B50BB2"/>
    <w:rsid w:val="00B50BB8"/>
    <w:rsid w:val="00B53558"/>
    <w:rsid w:val="00B545C5"/>
    <w:rsid w:val="00B55049"/>
    <w:rsid w:val="00B55D02"/>
    <w:rsid w:val="00B55FEB"/>
    <w:rsid w:val="00B5691E"/>
    <w:rsid w:val="00B578F9"/>
    <w:rsid w:val="00B6373E"/>
    <w:rsid w:val="00B65416"/>
    <w:rsid w:val="00B6541A"/>
    <w:rsid w:val="00B65F0A"/>
    <w:rsid w:val="00B660A4"/>
    <w:rsid w:val="00B6712A"/>
    <w:rsid w:val="00B704B2"/>
    <w:rsid w:val="00B70D70"/>
    <w:rsid w:val="00B70DB5"/>
    <w:rsid w:val="00B73410"/>
    <w:rsid w:val="00B7377B"/>
    <w:rsid w:val="00B74273"/>
    <w:rsid w:val="00B74435"/>
    <w:rsid w:val="00B74DA0"/>
    <w:rsid w:val="00B7637A"/>
    <w:rsid w:val="00B76F9A"/>
    <w:rsid w:val="00B779A6"/>
    <w:rsid w:val="00B77D6B"/>
    <w:rsid w:val="00B8121F"/>
    <w:rsid w:val="00B817E1"/>
    <w:rsid w:val="00B83827"/>
    <w:rsid w:val="00B8457A"/>
    <w:rsid w:val="00B85793"/>
    <w:rsid w:val="00B860AC"/>
    <w:rsid w:val="00B86286"/>
    <w:rsid w:val="00B9068B"/>
    <w:rsid w:val="00B911B6"/>
    <w:rsid w:val="00B91B04"/>
    <w:rsid w:val="00B91E90"/>
    <w:rsid w:val="00B923C3"/>
    <w:rsid w:val="00B92680"/>
    <w:rsid w:val="00B93AA1"/>
    <w:rsid w:val="00B94210"/>
    <w:rsid w:val="00B945E8"/>
    <w:rsid w:val="00B94794"/>
    <w:rsid w:val="00B94C95"/>
    <w:rsid w:val="00B951AC"/>
    <w:rsid w:val="00B96388"/>
    <w:rsid w:val="00B96745"/>
    <w:rsid w:val="00B978D4"/>
    <w:rsid w:val="00B97927"/>
    <w:rsid w:val="00B97B54"/>
    <w:rsid w:val="00BA0158"/>
    <w:rsid w:val="00BA11EA"/>
    <w:rsid w:val="00BA1461"/>
    <w:rsid w:val="00BA17B2"/>
    <w:rsid w:val="00BA2159"/>
    <w:rsid w:val="00BA2355"/>
    <w:rsid w:val="00BA30F4"/>
    <w:rsid w:val="00BA3F08"/>
    <w:rsid w:val="00BA4B4E"/>
    <w:rsid w:val="00BA66C4"/>
    <w:rsid w:val="00BA67B4"/>
    <w:rsid w:val="00BA6F8F"/>
    <w:rsid w:val="00BB1774"/>
    <w:rsid w:val="00BB3CD8"/>
    <w:rsid w:val="00BB3E09"/>
    <w:rsid w:val="00BB4A59"/>
    <w:rsid w:val="00BB57F1"/>
    <w:rsid w:val="00BB59DB"/>
    <w:rsid w:val="00BB5F65"/>
    <w:rsid w:val="00BC0B77"/>
    <w:rsid w:val="00BC0BAC"/>
    <w:rsid w:val="00BC0CD9"/>
    <w:rsid w:val="00BC1104"/>
    <w:rsid w:val="00BC16A3"/>
    <w:rsid w:val="00BC1806"/>
    <w:rsid w:val="00BC18FA"/>
    <w:rsid w:val="00BC2A92"/>
    <w:rsid w:val="00BC3708"/>
    <w:rsid w:val="00BC6154"/>
    <w:rsid w:val="00BC64A7"/>
    <w:rsid w:val="00BC7EB5"/>
    <w:rsid w:val="00BD109A"/>
    <w:rsid w:val="00BD1421"/>
    <w:rsid w:val="00BD1E18"/>
    <w:rsid w:val="00BD34E4"/>
    <w:rsid w:val="00BD3D1C"/>
    <w:rsid w:val="00BD4264"/>
    <w:rsid w:val="00BD4527"/>
    <w:rsid w:val="00BD4BB6"/>
    <w:rsid w:val="00BD56BE"/>
    <w:rsid w:val="00BD6593"/>
    <w:rsid w:val="00BD6B95"/>
    <w:rsid w:val="00BD720E"/>
    <w:rsid w:val="00BE1013"/>
    <w:rsid w:val="00BE249D"/>
    <w:rsid w:val="00BE31F6"/>
    <w:rsid w:val="00BE3480"/>
    <w:rsid w:val="00BE4A73"/>
    <w:rsid w:val="00BE4DDB"/>
    <w:rsid w:val="00BE7A2A"/>
    <w:rsid w:val="00BF0CAA"/>
    <w:rsid w:val="00BF2132"/>
    <w:rsid w:val="00BF277E"/>
    <w:rsid w:val="00BF27EB"/>
    <w:rsid w:val="00BF362D"/>
    <w:rsid w:val="00BF4827"/>
    <w:rsid w:val="00BF4F1C"/>
    <w:rsid w:val="00BF51FD"/>
    <w:rsid w:val="00BF551D"/>
    <w:rsid w:val="00BF5634"/>
    <w:rsid w:val="00BF600E"/>
    <w:rsid w:val="00C008A0"/>
    <w:rsid w:val="00C013D8"/>
    <w:rsid w:val="00C01C6E"/>
    <w:rsid w:val="00C01FD5"/>
    <w:rsid w:val="00C02774"/>
    <w:rsid w:val="00C0298F"/>
    <w:rsid w:val="00C02AD6"/>
    <w:rsid w:val="00C05C97"/>
    <w:rsid w:val="00C05EC6"/>
    <w:rsid w:val="00C0668B"/>
    <w:rsid w:val="00C076C6"/>
    <w:rsid w:val="00C10934"/>
    <w:rsid w:val="00C127EB"/>
    <w:rsid w:val="00C128E4"/>
    <w:rsid w:val="00C12D8B"/>
    <w:rsid w:val="00C13386"/>
    <w:rsid w:val="00C13773"/>
    <w:rsid w:val="00C14164"/>
    <w:rsid w:val="00C1420F"/>
    <w:rsid w:val="00C14622"/>
    <w:rsid w:val="00C15BF5"/>
    <w:rsid w:val="00C1719F"/>
    <w:rsid w:val="00C17DCE"/>
    <w:rsid w:val="00C20C0B"/>
    <w:rsid w:val="00C21D62"/>
    <w:rsid w:val="00C22988"/>
    <w:rsid w:val="00C22D3F"/>
    <w:rsid w:val="00C23542"/>
    <w:rsid w:val="00C23CCD"/>
    <w:rsid w:val="00C24B00"/>
    <w:rsid w:val="00C26C89"/>
    <w:rsid w:val="00C271E7"/>
    <w:rsid w:val="00C30DFA"/>
    <w:rsid w:val="00C30FDF"/>
    <w:rsid w:val="00C31337"/>
    <w:rsid w:val="00C3137C"/>
    <w:rsid w:val="00C3196A"/>
    <w:rsid w:val="00C33C7F"/>
    <w:rsid w:val="00C34326"/>
    <w:rsid w:val="00C3505F"/>
    <w:rsid w:val="00C35E0B"/>
    <w:rsid w:val="00C37F0B"/>
    <w:rsid w:val="00C40150"/>
    <w:rsid w:val="00C42250"/>
    <w:rsid w:val="00C426D4"/>
    <w:rsid w:val="00C42A3C"/>
    <w:rsid w:val="00C42A7B"/>
    <w:rsid w:val="00C43390"/>
    <w:rsid w:val="00C44237"/>
    <w:rsid w:val="00C44F84"/>
    <w:rsid w:val="00C4580B"/>
    <w:rsid w:val="00C465D4"/>
    <w:rsid w:val="00C52024"/>
    <w:rsid w:val="00C520FF"/>
    <w:rsid w:val="00C531DE"/>
    <w:rsid w:val="00C53382"/>
    <w:rsid w:val="00C53EC5"/>
    <w:rsid w:val="00C5422B"/>
    <w:rsid w:val="00C544D2"/>
    <w:rsid w:val="00C54665"/>
    <w:rsid w:val="00C55953"/>
    <w:rsid w:val="00C56609"/>
    <w:rsid w:val="00C57706"/>
    <w:rsid w:val="00C578A2"/>
    <w:rsid w:val="00C57E75"/>
    <w:rsid w:val="00C60539"/>
    <w:rsid w:val="00C61BFF"/>
    <w:rsid w:val="00C632B8"/>
    <w:rsid w:val="00C6352F"/>
    <w:rsid w:val="00C63868"/>
    <w:rsid w:val="00C64421"/>
    <w:rsid w:val="00C64AD9"/>
    <w:rsid w:val="00C66BC9"/>
    <w:rsid w:val="00C66E4D"/>
    <w:rsid w:val="00C706BF"/>
    <w:rsid w:val="00C7120E"/>
    <w:rsid w:val="00C71C65"/>
    <w:rsid w:val="00C71C8E"/>
    <w:rsid w:val="00C74422"/>
    <w:rsid w:val="00C749CC"/>
    <w:rsid w:val="00C75AEC"/>
    <w:rsid w:val="00C75C40"/>
    <w:rsid w:val="00C762F7"/>
    <w:rsid w:val="00C77B53"/>
    <w:rsid w:val="00C82129"/>
    <w:rsid w:val="00C822AA"/>
    <w:rsid w:val="00C82339"/>
    <w:rsid w:val="00C82781"/>
    <w:rsid w:val="00C828BF"/>
    <w:rsid w:val="00C8438A"/>
    <w:rsid w:val="00C84DC7"/>
    <w:rsid w:val="00C84E46"/>
    <w:rsid w:val="00C85286"/>
    <w:rsid w:val="00C8551E"/>
    <w:rsid w:val="00C85C3B"/>
    <w:rsid w:val="00C8642C"/>
    <w:rsid w:val="00C86601"/>
    <w:rsid w:val="00C86D95"/>
    <w:rsid w:val="00C874DB"/>
    <w:rsid w:val="00C90049"/>
    <w:rsid w:val="00C90172"/>
    <w:rsid w:val="00C92C74"/>
    <w:rsid w:val="00C95C5C"/>
    <w:rsid w:val="00C966A3"/>
    <w:rsid w:val="00C96B68"/>
    <w:rsid w:val="00CA10A3"/>
    <w:rsid w:val="00CA2720"/>
    <w:rsid w:val="00CA5FFC"/>
    <w:rsid w:val="00CA6222"/>
    <w:rsid w:val="00CA664A"/>
    <w:rsid w:val="00CA793B"/>
    <w:rsid w:val="00CB120B"/>
    <w:rsid w:val="00CB126A"/>
    <w:rsid w:val="00CB1C6E"/>
    <w:rsid w:val="00CB2112"/>
    <w:rsid w:val="00CB2270"/>
    <w:rsid w:val="00CB2C83"/>
    <w:rsid w:val="00CB3E6B"/>
    <w:rsid w:val="00CB69AD"/>
    <w:rsid w:val="00CC0901"/>
    <w:rsid w:val="00CC0C83"/>
    <w:rsid w:val="00CC0ED0"/>
    <w:rsid w:val="00CC1099"/>
    <w:rsid w:val="00CC112A"/>
    <w:rsid w:val="00CC21C7"/>
    <w:rsid w:val="00CC326C"/>
    <w:rsid w:val="00CC367B"/>
    <w:rsid w:val="00CC428C"/>
    <w:rsid w:val="00CC4A5A"/>
    <w:rsid w:val="00CC4C2D"/>
    <w:rsid w:val="00CC6843"/>
    <w:rsid w:val="00CC6E5C"/>
    <w:rsid w:val="00CD083B"/>
    <w:rsid w:val="00CD0FAE"/>
    <w:rsid w:val="00CD0FD2"/>
    <w:rsid w:val="00CD1320"/>
    <w:rsid w:val="00CD25CF"/>
    <w:rsid w:val="00CD3142"/>
    <w:rsid w:val="00CD3359"/>
    <w:rsid w:val="00CD3408"/>
    <w:rsid w:val="00CD3792"/>
    <w:rsid w:val="00CD3AC1"/>
    <w:rsid w:val="00CD3D6B"/>
    <w:rsid w:val="00CD407C"/>
    <w:rsid w:val="00CD4362"/>
    <w:rsid w:val="00CD51E1"/>
    <w:rsid w:val="00CD5356"/>
    <w:rsid w:val="00CD58E9"/>
    <w:rsid w:val="00CD7E52"/>
    <w:rsid w:val="00CD7F20"/>
    <w:rsid w:val="00CE06C5"/>
    <w:rsid w:val="00CE076E"/>
    <w:rsid w:val="00CE0C57"/>
    <w:rsid w:val="00CE0CC8"/>
    <w:rsid w:val="00CE0F08"/>
    <w:rsid w:val="00CE1120"/>
    <w:rsid w:val="00CE122B"/>
    <w:rsid w:val="00CE1299"/>
    <w:rsid w:val="00CE1A7A"/>
    <w:rsid w:val="00CE2855"/>
    <w:rsid w:val="00CE3795"/>
    <w:rsid w:val="00CE4768"/>
    <w:rsid w:val="00CE49E1"/>
    <w:rsid w:val="00CE5052"/>
    <w:rsid w:val="00CE6C0A"/>
    <w:rsid w:val="00CE7FB2"/>
    <w:rsid w:val="00CF031C"/>
    <w:rsid w:val="00CF05C8"/>
    <w:rsid w:val="00CF0E8E"/>
    <w:rsid w:val="00CF343C"/>
    <w:rsid w:val="00CF3DA8"/>
    <w:rsid w:val="00CF46F0"/>
    <w:rsid w:val="00CF5A87"/>
    <w:rsid w:val="00CF5BBC"/>
    <w:rsid w:val="00D000EF"/>
    <w:rsid w:val="00D00311"/>
    <w:rsid w:val="00D01534"/>
    <w:rsid w:val="00D03FE3"/>
    <w:rsid w:val="00D046DF"/>
    <w:rsid w:val="00D05B08"/>
    <w:rsid w:val="00D05E87"/>
    <w:rsid w:val="00D0698E"/>
    <w:rsid w:val="00D070DB"/>
    <w:rsid w:val="00D10EEF"/>
    <w:rsid w:val="00D12A7D"/>
    <w:rsid w:val="00D12B02"/>
    <w:rsid w:val="00D1568E"/>
    <w:rsid w:val="00D157F6"/>
    <w:rsid w:val="00D17877"/>
    <w:rsid w:val="00D1794A"/>
    <w:rsid w:val="00D20214"/>
    <w:rsid w:val="00D20EC1"/>
    <w:rsid w:val="00D2293B"/>
    <w:rsid w:val="00D2399D"/>
    <w:rsid w:val="00D239FB"/>
    <w:rsid w:val="00D23B99"/>
    <w:rsid w:val="00D23E9B"/>
    <w:rsid w:val="00D2410C"/>
    <w:rsid w:val="00D24B10"/>
    <w:rsid w:val="00D2526E"/>
    <w:rsid w:val="00D256A2"/>
    <w:rsid w:val="00D25A0E"/>
    <w:rsid w:val="00D25EA4"/>
    <w:rsid w:val="00D27275"/>
    <w:rsid w:val="00D27BAE"/>
    <w:rsid w:val="00D30794"/>
    <w:rsid w:val="00D3114C"/>
    <w:rsid w:val="00D31277"/>
    <w:rsid w:val="00D312C7"/>
    <w:rsid w:val="00D316CE"/>
    <w:rsid w:val="00D32029"/>
    <w:rsid w:val="00D325AC"/>
    <w:rsid w:val="00D3375B"/>
    <w:rsid w:val="00D337D5"/>
    <w:rsid w:val="00D3456E"/>
    <w:rsid w:val="00D35A34"/>
    <w:rsid w:val="00D361E0"/>
    <w:rsid w:val="00D364F8"/>
    <w:rsid w:val="00D36B4E"/>
    <w:rsid w:val="00D40ACC"/>
    <w:rsid w:val="00D40B73"/>
    <w:rsid w:val="00D41A59"/>
    <w:rsid w:val="00D42BCE"/>
    <w:rsid w:val="00D42F9B"/>
    <w:rsid w:val="00D44BB6"/>
    <w:rsid w:val="00D45A80"/>
    <w:rsid w:val="00D45B92"/>
    <w:rsid w:val="00D470E3"/>
    <w:rsid w:val="00D47A4C"/>
    <w:rsid w:val="00D5097B"/>
    <w:rsid w:val="00D5188E"/>
    <w:rsid w:val="00D519CC"/>
    <w:rsid w:val="00D51B3B"/>
    <w:rsid w:val="00D5310D"/>
    <w:rsid w:val="00D54717"/>
    <w:rsid w:val="00D54912"/>
    <w:rsid w:val="00D55217"/>
    <w:rsid w:val="00D55604"/>
    <w:rsid w:val="00D56F3C"/>
    <w:rsid w:val="00D60393"/>
    <w:rsid w:val="00D6054B"/>
    <w:rsid w:val="00D60A76"/>
    <w:rsid w:val="00D61012"/>
    <w:rsid w:val="00D62F6F"/>
    <w:rsid w:val="00D646A0"/>
    <w:rsid w:val="00D64761"/>
    <w:rsid w:val="00D649BA"/>
    <w:rsid w:val="00D64DFC"/>
    <w:rsid w:val="00D66414"/>
    <w:rsid w:val="00D70678"/>
    <w:rsid w:val="00D7190D"/>
    <w:rsid w:val="00D71D6C"/>
    <w:rsid w:val="00D73340"/>
    <w:rsid w:val="00D74EA6"/>
    <w:rsid w:val="00D75943"/>
    <w:rsid w:val="00D772CF"/>
    <w:rsid w:val="00D80722"/>
    <w:rsid w:val="00D8162E"/>
    <w:rsid w:val="00D81C77"/>
    <w:rsid w:val="00D841FD"/>
    <w:rsid w:val="00D849FE"/>
    <w:rsid w:val="00D86D24"/>
    <w:rsid w:val="00D8764E"/>
    <w:rsid w:val="00D90D69"/>
    <w:rsid w:val="00D91FC9"/>
    <w:rsid w:val="00D92109"/>
    <w:rsid w:val="00D9230A"/>
    <w:rsid w:val="00D92E57"/>
    <w:rsid w:val="00D93E9E"/>
    <w:rsid w:val="00D9469D"/>
    <w:rsid w:val="00D94FB7"/>
    <w:rsid w:val="00D961CC"/>
    <w:rsid w:val="00D96B67"/>
    <w:rsid w:val="00D96C9C"/>
    <w:rsid w:val="00DA12EF"/>
    <w:rsid w:val="00DA22D9"/>
    <w:rsid w:val="00DA2981"/>
    <w:rsid w:val="00DA2D15"/>
    <w:rsid w:val="00DA3102"/>
    <w:rsid w:val="00DA337D"/>
    <w:rsid w:val="00DA3426"/>
    <w:rsid w:val="00DA372B"/>
    <w:rsid w:val="00DA3A66"/>
    <w:rsid w:val="00DA460F"/>
    <w:rsid w:val="00DA58C8"/>
    <w:rsid w:val="00DA5D31"/>
    <w:rsid w:val="00DA629C"/>
    <w:rsid w:val="00DA662A"/>
    <w:rsid w:val="00DA6715"/>
    <w:rsid w:val="00DA7631"/>
    <w:rsid w:val="00DA78E7"/>
    <w:rsid w:val="00DB032C"/>
    <w:rsid w:val="00DB093F"/>
    <w:rsid w:val="00DB12FB"/>
    <w:rsid w:val="00DB3090"/>
    <w:rsid w:val="00DB32B5"/>
    <w:rsid w:val="00DB374C"/>
    <w:rsid w:val="00DB42E6"/>
    <w:rsid w:val="00DB474B"/>
    <w:rsid w:val="00DB54D7"/>
    <w:rsid w:val="00DB57BD"/>
    <w:rsid w:val="00DB6538"/>
    <w:rsid w:val="00DB655C"/>
    <w:rsid w:val="00DC012D"/>
    <w:rsid w:val="00DC0298"/>
    <w:rsid w:val="00DC0747"/>
    <w:rsid w:val="00DC10E8"/>
    <w:rsid w:val="00DC10F7"/>
    <w:rsid w:val="00DC131D"/>
    <w:rsid w:val="00DC25CF"/>
    <w:rsid w:val="00DC2927"/>
    <w:rsid w:val="00DC3AB8"/>
    <w:rsid w:val="00DC481C"/>
    <w:rsid w:val="00DC5504"/>
    <w:rsid w:val="00DC7CDF"/>
    <w:rsid w:val="00DD1190"/>
    <w:rsid w:val="00DD21A4"/>
    <w:rsid w:val="00DD247B"/>
    <w:rsid w:val="00DD3D11"/>
    <w:rsid w:val="00DD3D4D"/>
    <w:rsid w:val="00DD3E72"/>
    <w:rsid w:val="00DD4323"/>
    <w:rsid w:val="00DD44A3"/>
    <w:rsid w:val="00DD78B1"/>
    <w:rsid w:val="00DD7A08"/>
    <w:rsid w:val="00DE2B41"/>
    <w:rsid w:val="00DE3297"/>
    <w:rsid w:val="00DE4908"/>
    <w:rsid w:val="00DE4B13"/>
    <w:rsid w:val="00DE5251"/>
    <w:rsid w:val="00DE6022"/>
    <w:rsid w:val="00DE6301"/>
    <w:rsid w:val="00DF05D5"/>
    <w:rsid w:val="00DF075A"/>
    <w:rsid w:val="00DF0D5B"/>
    <w:rsid w:val="00DF0DA6"/>
    <w:rsid w:val="00DF21E9"/>
    <w:rsid w:val="00DF2AD7"/>
    <w:rsid w:val="00DF4A64"/>
    <w:rsid w:val="00DF5351"/>
    <w:rsid w:val="00DF59E9"/>
    <w:rsid w:val="00DF600F"/>
    <w:rsid w:val="00DF7687"/>
    <w:rsid w:val="00DF7A90"/>
    <w:rsid w:val="00E00ABD"/>
    <w:rsid w:val="00E010D7"/>
    <w:rsid w:val="00E01225"/>
    <w:rsid w:val="00E01309"/>
    <w:rsid w:val="00E01437"/>
    <w:rsid w:val="00E01448"/>
    <w:rsid w:val="00E01DE7"/>
    <w:rsid w:val="00E04382"/>
    <w:rsid w:val="00E07292"/>
    <w:rsid w:val="00E0772A"/>
    <w:rsid w:val="00E079A7"/>
    <w:rsid w:val="00E1074A"/>
    <w:rsid w:val="00E10F0F"/>
    <w:rsid w:val="00E116CD"/>
    <w:rsid w:val="00E11A80"/>
    <w:rsid w:val="00E11C0A"/>
    <w:rsid w:val="00E122A1"/>
    <w:rsid w:val="00E12785"/>
    <w:rsid w:val="00E12A38"/>
    <w:rsid w:val="00E1305A"/>
    <w:rsid w:val="00E139AB"/>
    <w:rsid w:val="00E1541D"/>
    <w:rsid w:val="00E16C07"/>
    <w:rsid w:val="00E20564"/>
    <w:rsid w:val="00E20B8A"/>
    <w:rsid w:val="00E20F04"/>
    <w:rsid w:val="00E22084"/>
    <w:rsid w:val="00E22288"/>
    <w:rsid w:val="00E22B3E"/>
    <w:rsid w:val="00E249DB"/>
    <w:rsid w:val="00E264FF"/>
    <w:rsid w:val="00E275A5"/>
    <w:rsid w:val="00E304DE"/>
    <w:rsid w:val="00E3104D"/>
    <w:rsid w:val="00E3145D"/>
    <w:rsid w:val="00E31732"/>
    <w:rsid w:val="00E32142"/>
    <w:rsid w:val="00E321CC"/>
    <w:rsid w:val="00E3225C"/>
    <w:rsid w:val="00E33885"/>
    <w:rsid w:val="00E33932"/>
    <w:rsid w:val="00E33940"/>
    <w:rsid w:val="00E3394E"/>
    <w:rsid w:val="00E350E0"/>
    <w:rsid w:val="00E35F27"/>
    <w:rsid w:val="00E368F8"/>
    <w:rsid w:val="00E4008B"/>
    <w:rsid w:val="00E41049"/>
    <w:rsid w:val="00E41FCC"/>
    <w:rsid w:val="00E42B40"/>
    <w:rsid w:val="00E42BD8"/>
    <w:rsid w:val="00E45D87"/>
    <w:rsid w:val="00E45E31"/>
    <w:rsid w:val="00E46CC0"/>
    <w:rsid w:val="00E47027"/>
    <w:rsid w:val="00E4743F"/>
    <w:rsid w:val="00E47755"/>
    <w:rsid w:val="00E507CD"/>
    <w:rsid w:val="00E5220F"/>
    <w:rsid w:val="00E52845"/>
    <w:rsid w:val="00E52D07"/>
    <w:rsid w:val="00E52F85"/>
    <w:rsid w:val="00E53D2B"/>
    <w:rsid w:val="00E54213"/>
    <w:rsid w:val="00E5500F"/>
    <w:rsid w:val="00E6010B"/>
    <w:rsid w:val="00E607E9"/>
    <w:rsid w:val="00E60A97"/>
    <w:rsid w:val="00E6104A"/>
    <w:rsid w:val="00E618EE"/>
    <w:rsid w:val="00E6196F"/>
    <w:rsid w:val="00E61B1D"/>
    <w:rsid w:val="00E61BA0"/>
    <w:rsid w:val="00E62882"/>
    <w:rsid w:val="00E638EF"/>
    <w:rsid w:val="00E64E60"/>
    <w:rsid w:val="00E64FE6"/>
    <w:rsid w:val="00E653FC"/>
    <w:rsid w:val="00E65BAE"/>
    <w:rsid w:val="00E65E07"/>
    <w:rsid w:val="00E6646A"/>
    <w:rsid w:val="00E6706D"/>
    <w:rsid w:val="00E677A6"/>
    <w:rsid w:val="00E7050A"/>
    <w:rsid w:val="00E72E31"/>
    <w:rsid w:val="00E73358"/>
    <w:rsid w:val="00E7438D"/>
    <w:rsid w:val="00E75DED"/>
    <w:rsid w:val="00E80B91"/>
    <w:rsid w:val="00E80E5B"/>
    <w:rsid w:val="00E8224A"/>
    <w:rsid w:val="00E83396"/>
    <w:rsid w:val="00E83707"/>
    <w:rsid w:val="00E8397F"/>
    <w:rsid w:val="00E85843"/>
    <w:rsid w:val="00E8680B"/>
    <w:rsid w:val="00E909B5"/>
    <w:rsid w:val="00E913E9"/>
    <w:rsid w:val="00E92771"/>
    <w:rsid w:val="00E92D06"/>
    <w:rsid w:val="00E9388F"/>
    <w:rsid w:val="00E93DB5"/>
    <w:rsid w:val="00E94493"/>
    <w:rsid w:val="00E945CE"/>
    <w:rsid w:val="00E94F24"/>
    <w:rsid w:val="00E9556B"/>
    <w:rsid w:val="00E95789"/>
    <w:rsid w:val="00E966FB"/>
    <w:rsid w:val="00EA0C9B"/>
    <w:rsid w:val="00EA1AAA"/>
    <w:rsid w:val="00EA1E9D"/>
    <w:rsid w:val="00EA2D11"/>
    <w:rsid w:val="00EA2FC1"/>
    <w:rsid w:val="00EA3B7A"/>
    <w:rsid w:val="00EA5D7C"/>
    <w:rsid w:val="00EA6729"/>
    <w:rsid w:val="00EA7A2A"/>
    <w:rsid w:val="00EB2675"/>
    <w:rsid w:val="00EB27E9"/>
    <w:rsid w:val="00EB29D3"/>
    <w:rsid w:val="00EB3A38"/>
    <w:rsid w:val="00EB3EF3"/>
    <w:rsid w:val="00EB5C51"/>
    <w:rsid w:val="00EB6295"/>
    <w:rsid w:val="00EB774D"/>
    <w:rsid w:val="00EC05CA"/>
    <w:rsid w:val="00EC1E76"/>
    <w:rsid w:val="00EC2E99"/>
    <w:rsid w:val="00EC4622"/>
    <w:rsid w:val="00EC47DE"/>
    <w:rsid w:val="00EC4F36"/>
    <w:rsid w:val="00EC6E7C"/>
    <w:rsid w:val="00EC6F6D"/>
    <w:rsid w:val="00EC710E"/>
    <w:rsid w:val="00EC7619"/>
    <w:rsid w:val="00EC78BA"/>
    <w:rsid w:val="00ED14F8"/>
    <w:rsid w:val="00ED1F3B"/>
    <w:rsid w:val="00ED2D00"/>
    <w:rsid w:val="00ED3475"/>
    <w:rsid w:val="00ED5005"/>
    <w:rsid w:val="00ED6ED5"/>
    <w:rsid w:val="00ED7147"/>
    <w:rsid w:val="00ED7E70"/>
    <w:rsid w:val="00ED7E76"/>
    <w:rsid w:val="00EE0527"/>
    <w:rsid w:val="00EE104E"/>
    <w:rsid w:val="00EE2623"/>
    <w:rsid w:val="00EE3162"/>
    <w:rsid w:val="00EE429A"/>
    <w:rsid w:val="00EE4E6D"/>
    <w:rsid w:val="00EE631E"/>
    <w:rsid w:val="00EE6728"/>
    <w:rsid w:val="00EE7A77"/>
    <w:rsid w:val="00EE7F80"/>
    <w:rsid w:val="00EF040A"/>
    <w:rsid w:val="00EF1BD5"/>
    <w:rsid w:val="00EF243A"/>
    <w:rsid w:val="00EF2652"/>
    <w:rsid w:val="00EF2D7E"/>
    <w:rsid w:val="00EF2DE0"/>
    <w:rsid w:val="00EF3D42"/>
    <w:rsid w:val="00EF4347"/>
    <w:rsid w:val="00EF476B"/>
    <w:rsid w:val="00EF4EF9"/>
    <w:rsid w:val="00EF56A9"/>
    <w:rsid w:val="00EF5930"/>
    <w:rsid w:val="00F01066"/>
    <w:rsid w:val="00F01937"/>
    <w:rsid w:val="00F0244B"/>
    <w:rsid w:val="00F03332"/>
    <w:rsid w:val="00F03401"/>
    <w:rsid w:val="00F03ECF"/>
    <w:rsid w:val="00F04229"/>
    <w:rsid w:val="00F05758"/>
    <w:rsid w:val="00F05B8B"/>
    <w:rsid w:val="00F05DD9"/>
    <w:rsid w:val="00F112B2"/>
    <w:rsid w:val="00F12830"/>
    <w:rsid w:val="00F12A8D"/>
    <w:rsid w:val="00F139D6"/>
    <w:rsid w:val="00F13B21"/>
    <w:rsid w:val="00F13BD2"/>
    <w:rsid w:val="00F13FE4"/>
    <w:rsid w:val="00F143F8"/>
    <w:rsid w:val="00F167C2"/>
    <w:rsid w:val="00F16AE6"/>
    <w:rsid w:val="00F17707"/>
    <w:rsid w:val="00F20829"/>
    <w:rsid w:val="00F20EEE"/>
    <w:rsid w:val="00F21117"/>
    <w:rsid w:val="00F218B8"/>
    <w:rsid w:val="00F21F9B"/>
    <w:rsid w:val="00F222A5"/>
    <w:rsid w:val="00F23756"/>
    <w:rsid w:val="00F24760"/>
    <w:rsid w:val="00F266D2"/>
    <w:rsid w:val="00F300B1"/>
    <w:rsid w:val="00F31A51"/>
    <w:rsid w:val="00F323B1"/>
    <w:rsid w:val="00F3264C"/>
    <w:rsid w:val="00F339C5"/>
    <w:rsid w:val="00F36301"/>
    <w:rsid w:val="00F40881"/>
    <w:rsid w:val="00F41412"/>
    <w:rsid w:val="00F41C00"/>
    <w:rsid w:val="00F4219B"/>
    <w:rsid w:val="00F430C4"/>
    <w:rsid w:val="00F432D7"/>
    <w:rsid w:val="00F44A24"/>
    <w:rsid w:val="00F44B19"/>
    <w:rsid w:val="00F45CBC"/>
    <w:rsid w:val="00F46C6B"/>
    <w:rsid w:val="00F50B94"/>
    <w:rsid w:val="00F51C04"/>
    <w:rsid w:val="00F51FD1"/>
    <w:rsid w:val="00F535D3"/>
    <w:rsid w:val="00F536A3"/>
    <w:rsid w:val="00F53BE0"/>
    <w:rsid w:val="00F54545"/>
    <w:rsid w:val="00F54F78"/>
    <w:rsid w:val="00F56334"/>
    <w:rsid w:val="00F565CF"/>
    <w:rsid w:val="00F57813"/>
    <w:rsid w:val="00F60E7F"/>
    <w:rsid w:val="00F61E1E"/>
    <w:rsid w:val="00F6303B"/>
    <w:rsid w:val="00F6373B"/>
    <w:rsid w:val="00F6411E"/>
    <w:rsid w:val="00F6480A"/>
    <w:rsid w:val="00F65AB5"/>
    <w:rsid w:val="00F67165"/>
    <w:rsid w:val="00F67401"/>
    <w:rsid w:val="00F677D9"/>
    <w:rsid w:val="00F702C9"/>
    <w:rsid w:val="00F7092A"/>
    <w:rsid w:val="00F733E9"/>
    <w:rsid w:val="00F74D97"/>
    <w:rsid w:val="00F7517E"/>
    <w:rsid w:val="00F75404"/>
    <w:rsid w:val="00F75BDD"/>
    <w:rsid w:val="00F75F3E"/>
    <w:rsid w:val="00F765AE"/>
    <w:rsid w:val="00F76E04"/>
    <w:rsid w:val="00F77296"/>
    <w:rsid w:val="00F77AE6"/>
    <w:rsid w:val="00F820E3"/>
    <w:rsid w:val="00F82834"/>
    <w:rsid w:val="00F83657"/>
    <w:rsid w:val="00F84C03"/>
    <w:rsid w:val="00F859D7"/>
    <w:rsid w:val="00F86257"/>
    <w:rsid w:val="00F86345"/>
    <w:rsid w:val="00F86F1A"/>
    <w:rsid w:val="00F87067"/>
    <w:rsid w:val="00F9243F"/>
    <w:rsid w:val="00F927B1"/>
    <w:rsid w:val="00F92982"/>
    <w:rsid w:val="00F94A2E"/>
    <w:rsid w:val="00F94A42"/>
    <w:rsid w:val="00F94B7E"/>
    <w:rsid w:val="00F955ED"/>
    <w:rsid w:val="00F957B3"/>
    <w:rsid w:val="00F95828"/>
    <w:rsid w:val="00F96903"/>
    <w:rsid w:val="00F96F5A"/>
    <w:rsid w:val="00F9736F"/>
    <w:rsid w:val="00FA09D2"/>
    <w:rsid w:val="00FA16DB"/>
    <w:rsid w:val="00FA2345"/>
    <w:rsid w:val="00FA2D0C"/>
    <w:rsid w:val="00FA30D4"/>
    <w:rsid w:val="00FA3CAF"/>
    <w:rsid w:val="00FA3D8E"/>
    <w:rsid w:val="00FA3FC6"/>
    <w:rsid w:val="00FA58A4"/>
    <w:rsid w:val="00FA59D1"/>
    <w:rsid w:val="00FA5D03"/>
    <w:rsid w:val="00FA65B0"/>
    <w:rsid w:val="00FA6824"/>
    <w:rsid w:val="00FA6C61"/>
    <w:rsid w:val="00FA7DA4"/>
    <w:rsid w:val="00FB03D0"/>
    <w:rsid w:val="00FB06CD"/>
    <w:rsid w:val="00FB0DAB"/>
    <w:rsid w:val="00FB0EB2"/>
    <w:rsid w:val="00FB19AF"/>
    <w:rsid w:val="00FB62B9"/>
    <w:rsid w:val="00FB670A"/>
    <w:rsid w:val="00FC005B"/>
    <w:rsid w:val="00FC02B4"/>
    <w:rsid w:val="00FC1C6B"/>
    <w:rsid w:val="00FC3265"/>
    <w:rsid w:val="00FC465F"/>
    <w:rsid w:val="00FC5717"/>
    <w:rsid w:val="00FC5F05"/>
    <w:rsid w:val="00FC75B8"/>
    <w:rsid w:val="00FD0DED"/>
    <w:rsid w:val="00FD17CF"/>
    <w:rsid w:val="00FD20B5"/>
    <w:rsid w:val="00FD42A0"/>
    <w:rsid w:val="00FD4D7B"/>
    <w:rsid w:val="00FE0359"/>
    <w:rsid w:val="00FE0E2D"/>
    <w:rsid w:val="00FE1A0D"/>
    <w:rsid w:val="00FE1B8A"/>
    <w:rsid w:val="00FE281C"/>
    <w:rsid w:val="00FE2B1E"/>
    <w:rsid w:val="00FE38A2"/>
    <w:rsid w:val="00FE3F65"/>
    <w:rsid w:val="00FE40B0"/>
    <w:rsid w:val="00FE49B7"/>
    <w:rsid w:val="00FE50A5"/>
    <w:rsid w:val="00FE5A58"/>
    <w:rsid w:val="00FE717D"/>
    <w:rsid w:val="00FE7AE5"/>
    <w:rsid w:val="00FF0421"/>
    <w:rsid w:val="00FF0466"/>
    <w:rsid w:val="00FF08F0"/>
    <w:rsid w:val="00FF14C7"/>
    <w:rsid w:val="00FF1CC8"/>
    <w:rsid w:val="00FF3395"/>
    <w:rsid w:val="00FF3432"/>
    <w:rsid w:val="00FF3A40"/>
    <w:rsid w:val="00FF3A62"/>
    <w:rsid w:val="00FF7040"/>
    <w:rsid w:val="00FF7064"/>
    <w:rsid w:val="00FF7C46"/>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C4"/>
    <w:pPr>
      <w:widowControl w:val="0"/>
      <w:adjustRightInd w:val="0"/>
      <w:spacing w:line="360" w:lineRule="atLeast"/>
      <w:jc w:val="both"/>
      <w:textAlignment w:val="baseline"/>
    </w:pPr>
  </w:style>
  <w:style w:type="paragraph" w:styleId="Heading1">
    <w:name w:val="heading 1"/>
    <w:basedOn w:val="Normal"/>
    <w:next w:val="Normal"/>
    <w:qFormat/>
    <w:rsid w:val="0073568A"/>
    <w:pPr>
      <w:keepNext/>
      <w:ind w:right="43"/>
      <w:jc w:val="center"/>
      <w:outlineLvl w:val="0"/>
    </w:pPr>
    <w:rPr>
      <w:b/>
      <w:sz w:val="32"/>
    </w:rPr>
  </w:style>
  <w:style w:type="paragraph" w:styleId="Heading2">
    <w:name w:val="heading 2"/>
    <w:basedOn w:val="Normal"/>
    <w:next w:val="Normal"/>
    <w:qFormat/>
    <w:rsid w:val="0073568A"/>
    <w:pPr>
      <w:keepNext/>
      <w:pBdr>
        <w:bottom w:val="double" w:sz="6" w:space="1" w:color="auto"/>
      </w:pBdr>
      <w:spacing w:after="480"/>
      <w:ind w:right="43"/>
      <w:jc w:val="center"/>
      <w:outlineLvl w:val="1"/>
    </w:pPr>
    <w:rPr>
      <w:b/>
      <w:sz w:val="32"/>
    </w:rPr>
  </w:style>
  <w:style w:type="paragraph" w:styleId="Heading3">
    <w:name w:val="heading 3"/>
    <w:basedOn w:val="Normal"/>
    <w:next w:val="Normal"/>
    <w:qFormat/>
    <w:rsid w:val="0073568A"/>
    <w:pPr>
      <w:keepNext/>
      <w:ind w:right="36" w:firstLine="720"/>
      <w:outlineLvl w:val="2"/>
    </w:pPr>
    <w:rPr>
      <w:sz w:val="23"/>
      <w:u w:val="single"/>
    </w:rPr>
  </w:style>
  <w:style w:type="paragraph" w:styleId="Heading4">
    <w:name w:val="heading 4"/>
    <w:basedOn w:val="Normal"/>
    <w:next w:val="Normal"/>
    <w:qFormat/>
    <w:rsid w:val="0073568A"/>
    <w:pPr>
      <w:keepNext/>
      <w:jc w:val="center"/>
      <w:outlineLvl w:val="3"/>
    </w:pPr>
    <w:rPr>
      <w:b/>
      <w:sz w:val="24"/>
      <w:u w:val="single"/>
    </w:rPr>
  </w:style>
  <w:style w:type="paragraph" w:styleId="Heading5">
    <w:name w:val="heading 5"/>
    <w:basedOn w:val="Normal"/>
    <w:next w:val="Normal"/>
    <w:qFormat/>
    <w:rsid w:val="0073568A"/>
    <w:pPr>
      <w:keepNext/>
      <w:pageBreakBefore/>
      <w:ind w:right="43"/>
      <w:jc w:val="center"/>
      <w:outlineLvl w:val="4"/>
    </w:pPr>
    <w:rPr>
      <w:b/>
      <w:sz w:val="24"/>
    </w:rPr>
  </w:style>
  <w:style w:type="paragraph" w:styleId="Heading6">
    <w:name w:val="heading 6"/>
    <w:basedOn w:val="Normal"/>
    <w:next w:val="Normal"/>
    <w:qFormat/>
    <w:rsid w:val="0073568A"/>
    <w:pPr>
      <w:keepNext/>
      <w:outlineLvl w:val="5"/>
    </w:pPr>
    <w:rPr>
      <w:b/>
      <w:sz w:val="24"/>
    </w:rPr>
  </w:style>
  <w:style w:type="paragraph" w:styleId="Heading7">
    <w:name w:val="heading 7"/>
    <w:basedOn w:val="Normal"/>
    <w:next w:val="Normal"/>
    <w:qFormat/>
    <w:rsid w:val="0073568A"/>
    <w:pPr>
      <w:keepNext/>
      <w:spacing w:before="360" w:after="240"/>
      <w:ind w:right="43"/>
      <w:jc w:val="center"/>
      <w:outlineLvl w:val="6"/>
    </w:pPr>
    <w:rPr>
      <w:b/>
      <w:sz w:val="24"/>
      <w:u w:val="single"/>
    </w:rPr>
  </w:style>
  <w:style w:type="paragraph" w:styleId="Heading8">
    <w:name w:val="heading 8"/>
    <w:basedOn w:val="Normal"/>
    <w:next w:val="Normal"/>
    <w:qFormat/>
    <w:rsid w:val="0073568A"/>
    <w:pPr>
      <w:keepNext/>
      <w:numPr>
        <w:ilvl w:val="12"/>
      </w:numPr>
      <w:ind w:right="36"/>
      <w:jc w:val="center"/>
      <w:outlineLvl w:val="7"/>
    </w:pPr>
    <w:rPr>
      <w:b/>
      <w:sz w:val="23"/>
      <w:u w:val="single"/>
    </w:rPr>
  </w:style>
  <w:style w:type="paragraph" w:styleId="Heading9">
    <w:name w:val="heading 9"/>
    <w:basedOn w:val="Normal"/>
    <w:next w:val="Normal"/>
    <w:qFormat/>
    <w:rsid w:val="0073568A"/>
    <w:pPr>
      <w:keepNext/>
      <w:spacing w:before="360" w:after="240"/>
      <w:ind w:right="43"/>
      <w:jc w:val="center"/>
      <w:outlineLvl w:val="8"/>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568A"/>
    <w:pPr>
      <w:ind w:right="36" w:firstLine="720"/>
    </w:pPr>
    <w:rPr>
      <w:sz w:val="24"/>
    </w:rPr>
  </w:style>
  <w:style w:type="paragraph" w:styleId="BodyText3">
    <w:name w:val="Body Text 3"/>
    <w:basedOn w:val="Normal"/>
    <w:rsid w:val="0073568A"/>
    <w:pPr>
      <w:ind w:right="36"/>
    </w:pPr>
    <w:rPr>
      <w:sz w:val="24"/>
    </w:rPr>
  </w:style>
  <w:style w:type="paragraph" w:styleId="BodyText2">
    <w:name w:val="Body Text 2"/>
    <w:basedOn w:val="Normal"/>
    <w:rsid w:val="0073568A"/>
    <w:pPr>
      <w:ind w:right="36"/>
    </w:pPr>
    <w:rPr>
      <w:sz w:val="23"/>
    </w:rPr>
  </w:style>
  <w:style w:type="paragraph" w:styleId="BodyText">
    <w:name w:val="Body Text"/>
    <w:basedOn w:val="Normal"/>
    <w:rsid w:val="0073568A"/>
    <w:pPr>
      <w:ind w:right="43"/>
    </w:pPr>
    <w:rPr>
      <w:sz w:val="23"/>
    </w:rPr>
  </w:style>
  <w:style w:type="paragraph" w:styleId="BlockText">
    <w:name w:val="Block Text"/>
    <w:basedOn w:val="Normal"/>
    <w:rsid w:val="0073568A"/>
    <w:pPr>
      <w:ind w:left="360" w:right="36" w:hanging="360"/>
    </w:pPr>
    <w:rPr>
      <w:sz w:val="23"/>
    </w:rPr>
  </w:style>
  <w:style w:type="character" w:styleId="PageNumber">
    <w:name w:val="page number"/>
    <w:basedOn w:val="DefaultParagraphFont"/>
    <w:rsid w:val="0073568A"/>
  </w:style>
  <w:style w:type="paragraph" w:styleId="Footer">
    <w:name w:val="footer"/>
    <w:basedOn w:val="Normal"/>
    <w:link w:val="FooterChar"/>
    <w:uiPriority w:val="99"/>
    <w:rsid w:val="0073568A"/>
    <w:pPr>
      <w:tabs>
        <w:tab w:val="center" w:pos="4320"/>
        <w:tab w:val="right" w:pos="8640"/>
      </w:tabs>
    </w:pPr>
  </w:style>
  <w:style w:type="paragraph" w:styleId="Header">
    <w:name w:val="header"/>
    <w:basedOn w:val="Normal"/>
    <w:rsid w:val="0073568A"/>
    <w:pPr>
      <w:tabs>
        <w:tab w:val="center" w:pos="4320"/>
        <w:tab w:val="right" w:pos="8640"/>
      </w:tabs>
    </w:pPr>
    <w:rPr>
      <w:sz w:val="24"/>
    </w:rPr>
  </w:style>
  <w:style w:type="paragraph" w:styleId="DocumentMap">
    <w:name w:val="Document Map"/>
    <w:basedOn w:val="Normal"/>
    <w:semiHidden/>
    <w:rsid w:val="0073568A"/>
    <w:pPr>
      <w:shd w:val="clear" w:color="auto" w:fill="000080"/>
    </w:pPr>
    <w:rPr>
      <w:rFonts w:ascii="Tahoma" w:hAnsi="Tahoma"/>
    </w:rPr>
  </w:style>
  <w:style w:type="paragraph" w:styleId="Title">
    <w:name w:val="Title"/>
    <w:basedOn w:val="Normal"/>
    <w:qFormat/>
    <w:rsid w:val="0073568A"/>
    <w:pPr>
      <w:jc w:val="center"/>
    </w:pPr>
    <w:rPr>
      <w:b/>
      <w:sz w:val="32"/>
    </w:rPr>
  </w:style>
  <w:style w:type="paragraph" w:styleId="BodyTextIndent2">
    <w:name w:val="Body Text Indent 2"/>
    <w:basedOn w:val="Normal"/>
    <w:rsid w:val="0073568A"/>
    <w:pPr>
      <w:ind w:firstLine="720"/>
    </w:pPr>
    <w:rPr>
      <w:sz w:val="23"/>
    </w:rPr>
  </w:style>
  <w:style w:type="paragraph" w:styleId="BalloonText">
    <w:name w:val="Balloon Text"/>
    <w:basedOn w:val="Normal"/>
    <w:semiHidden/>
    <w:rsid w:val="00177FF1"/>
    <w:rPr>
      <w:rFonts w:ascii="Tahoma" w:hAnsi="Tahoma" w:cs="Tahoma"/>
      <w:sz w:val="16"/>
      <w:szCs w:val="16"/>
    </w:rPr>
  </w:style>
  <w:style w:type="paragraph" w:styleId="BodyTextFirstIndent">
    <w:name w:val="Body Text First Indent"/>
    <w:basedOn w:val="BodyText"/>
    <w:rsid w:val="006D751F"/>
    <w:pPr>
      <w:spacing w:after="120"/>
      <w:ind w:right="0" w:firstLine="210"/>
      <w:jc w:val="left"/>
    </w:pPr>
    <w:rPr>
      <w:sz w:val="20"/>
    </w:rPr>
  </w:style>
  <w:style w:type="paragraph" w:styleId="BodyTextFirstIndent2">
    <w:name w:val="Body Text First Indent 2"/>
    <w:basedOn w:val="BodyTextIndent"/>
    <w:rsid w:val="006D751F"/>
    <w:pPr>
      <w:spacing w:after="120"/>
      <w:ind w:left="360" w:right="0" w:firstLine="210"/>
      <w:jc w:val="left"/>
    </w:pPr>
    <w:rPr>
      <w:sz w:val="20"/>
    </w:rPr>
  </w:style>
  <w:style w:type="paragraph" w:styleId="BodyTextIndent3">
    <w:name w:val="Body Text Indent 3"/>
    <w:basedOn w:val="Normal"/>
    <w:rsid w:val="006D751F"/>
    <w:pPr>
      <w:spacing w:after="120"/>
      <w:ind w:left="360"/>
    </w:pPr>
    <w:rPr>
      <w:sz w:val="16"/>
      <w:szCs w:val="16"/>
    </w:rPr>
  </w:style>
  <w:style w:type="paragraph" w:styleId="Caption">
    <w:name w:val="caption"/>
    <w:basedOn w:val="Normal"/>
    <w:next w:val="Normal"/>
    <w:qFormat/>
    <w:rsid w:val="006D751F"/>
    <w:pPr>
      <w:spacing w:before="120" w:after="120"/>
    </w:pPr>
    <w:rPr>
      <w:b/>
      <w:bCs/>
    </w:rPr>
  </w:style>
  <w:style w:type="paragraph" w:styleId="Closing">
    <w:name w:val="Closing"/>
    <w:basedOn w:val="Normal"/>
    <w:rsid w:val="006D751F"/>
    <w:pPr>
      <w:ind w:left="4320"/>
    </w:pPr>
  </w:style>
  <w:style w:type="paragraph" w:styleId="CommentText">
    <w:name w:val="annotation text"/>
    <w:basedOn w:val="Normal"/>
    <w:link w:val="CommentTextChar"/>
    <w:semiHidden/>
    <w:rsid w:val="006D751F"/>
  </w:style>
  <w:style w:type="paragraph" w:styleId="CommentSubject">
    <w:name w:val="annotation subject"/>
    <w:basedOn w:val="CommentText"/>
    <w:next w:val="CommentText"/>
    <w:semiHidden/>
    <w:rsid w:val="006D751F"/>
    <w:rPr>
      <w:b/>
      <w:bCs/>
    </w:rPr>
  </w:style>
  <w:style w:type="paragraph" w:styleId="Date">
    <w:name w:val="Date"/>
    <w:basedOn w:val="Normal"/>
    <w:next w:val="Normal"/>
    <w:rsid w:val="006D751F"/>
  </w:style>
  <w:style w:type="paragraph" w:styleId="E-mailSignature">
    <w:name w:val="E-mail Signature"/>
    <w:basedOn w:val="Normal"/>
    <w:rsid w:val="006D751F"/>
  </w:style>
  <w:style w:type="paragraph" w:styleId="EndnoteText">
    <w:name w:val="endnote text"/>
    <w:basedOn w:val="Normal"/>
    <w:semiHidden/>
    <w:rsid w:val="006D751F"/>
  </w:style>
  <w:style w:type="paragraph" w:styleId="EnvelopeAddress">
    <w:name w:val="envelope address"/>
    <w:basedOn w:val="Normal"/>
    <w:rsid w:val="006D75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D751F"/>
    <w:rPr>
      <w:rFonts w:ascii="Arial" w:hAnsi="Arial" w:cs="Arial"/>
    </w:rPr>
  </w:style>
  <w:style w:type="paragraph" w:styleId="FootnoteText">
    <w:name w:val="footnote text"/>
    <w:basedOn w:val="Normal"/>
    <w:semiHidden/>
    <w:rsid w:val="006D751F"/>
  </w:style>
  <w:style w:type="paragraph" w:styleId="HTMLAddress">
    <w:name w:val="HTML Address"/>
    <w:basedOn w:val="Normal"/>
    <w:rsid w:val="006D751F"/>
    <w:rPr>
      <w:i/>
      <w:iCs/>
    </w:rPr>
  </w:style>
  <w:style w:type="paragraph" w:styleId="HTMLPreformatted">
    <w:name w:val="HTML Preformatted"/>
    <w:basedOn w:val="Normal"/>
    <w:rsid w:val="006D751F"/>
    <w:rPr>
      <w:rFonts w:ascii="Courier New" w:hAnsi="Courier New" w:cs="Courier New"/>
    </w:rPr>
  </w:style>
  <w:style w:type="paragraph" w:styleId="Index1">
    <w:name w:val="index 1"/>
    <w:basedOn w:val="Normal"/>
    <w:next w:val="Normal"/>
    <w:autoRedefine/>
    <w:semiHidden/>
    <w:rsid w:val="006D751F"/>
    <w:pPr>
      <w:ind w:left="200" w:hanging="200"/>
    </w:pPr>
  </w:style>
  <w:style w:type="paragraph" w:styleId="Index2">
    <w:name w:val="index 2"/>
    <w:basedOn w:val="Normal"/>
    <w:next w:val="Normal"/>
    <w:autoRedefine/>
    <w:semiHidden/>
    <w:rsid w:val="006D751F"/>
    <w:pPr>
      <w:ind w:left="400" w:hanging="200"/>
    </w:pPr>
  </w:style>
  <w:style w:type="paragraph" w:styleId="Index3">
    <w:name w:val="index 3"/>
    <w:basedOn w:val="Normal"/>
    <w:next w:val="Normal"/>
    <w:autoRedefine/>
    <w:semiHidden/>
    <w:rsid w:val="006D751F"/>
    <w:pPr>
      <w:ind w:left="600" w:hanging="200"/>
    </w:pPr>
  </w:style>
  <w:style w:type="paragraph" w:styleId="Index4">
    <w:name w:val="index 4"/>
    <w:basedOn w:val="Normal"/>
    <w:next w:val="Normal"/>
    <w:autoRedefine/>
    <w:semiHidden/>
    <w:rsid w:val="006D751F"/>
    <w:pPr>
      <w:ind w:left="800" w:hanging="200"/>
    </w:pPr>
  </w:style>
  <w:style w:type="paragraph" w:styleId="Index5">
    <w:name w:val="index 5"/>
    <w:basedOn w:val="Normal"/>
    <w:next w:val="Normal"/>
    <w:autoRedefine/>
    <w:semiHidden/>
    <w:rsid w:val="006D751F"/>
    <w:pPr>
      <w:ind w:left="1000" w:hanging="200"/>
    </w:pPr>
  </w:style>
  <w:style w:type="paragraph" w:styleId="Index6">
    <w:name w:val="index 6"/>
    <w:basedOn w:val="Normal"/>
    <w:next w:val="Normal"/>
    <w:autoRedefine/>
    <w:semiHidden/>
    <w:rsid w:val="006D751F"/>
    <w:pPr>
      <w:ind w:left="1200" w:hanging="200"/>
    </w:pPr>
  </w:style>
  <w:style w:type="paragraph" w:styleId="Index7">
    <w:name w:val="index 7"/>
    <w:basedOn w:val="Normal"/>
    <w:next w:val="Normal"/>
    <w:autoRedefine/>
    <w:semiHidden/>
    <w:rsid w:val="006D751F"/>
    <w:pPr>
      <w:ind w:left="1400" w:hanging="200"/>
    </w:pPr>
  </w:style>
  <w:style w:type="paragraph" w:styleId="Index8">
    <w:name w:val="index 8"/>
    <w:basedOn w:val="Normal"/>
    <w:next w:val="Normal"/>
    <w:autoRedefine/>
    <w:semiHidden/>
    <w:rsid w:val="006D751F"/>
    <w:pPr>
      <w:ind w:left="1600" w:hanging="200"/>
    </w:pPr>
  </w:style>
  <w:style w:type="paragraph" w:styleId="Index9">
    <w:name w:val="index 9"/>
    <w:basedOn w:val="Normal"/>
    <w:next w:val="Normal"/>
    <w:autoRedefine/>
    <w:semiHidden/>
    <w:rsid w:val="006D751F"/>
    <w:pPr>
      <w:ind w:left="1800" w:hanging="200"/>
    </w:pPr>
  </w:style>
  <w:style w:type="paragraph" w:styleId="IndexHeading">
    <w:name w:val="index heading"/>
    <w:basedOn w:val="Normal"/>
    <w:next w:val="Index1"/>
    <w:semiHidden/>
    <w:rsid w:val="006D751F"/>
    <w:rPr>
      <w:rFonts w:ascii="Arial" w:hAnsi="Arial" w:cs="Arial"/>
      <w:b/>
      <w:bCs/>
    </w:rPr>
  </w:style>
  <w:style w:type="paragraph" w:styleId="List">
    <w:name w:val="List"/>
    <w:basedOn w:val="Normal"/>
    <w:rsid w:val="006D751F"/>
    <w:pPr>
      <w:ind w:left="360" w:hanging="360"/>
    </w:pPr>
  </w:style>
  <w:style w:type="paragraph" w:styleId="List2">
    <w:name w:val="List 2"/>
    <w:basedOn w:val="Normal"/>
    <w:rsid w:val="006D751F"/>
    <w:pPr>
      <w:ind w:left="720" w:hanging="360"/>
    </w:pPr>
  </w:style>
  <w:style w:type="paragraph" w:styleId="List3">
    <w:name w:val="List 3"/>
    <w:basedOn w:val="Normal"/>
    <w:rsid w:val="006D751F"/>
    <w:pPr>
      <w:ind w:left="1080" w:hanging="360"/>
    </w:pPr>
  </w:style>
  <w:style w:type="paragraph" w:styleId="List4">
    <w:name w:val="List 4"/>
    <w:basedOn w:val="Normal"/>
    <w:rsid w:val="006D751F"/>
    <w:pPr>
      <w:ind w:left="1440" w:hanging="360"/>
    </w:pPr>
  </w:style>
  <w:style w:type="paragraph" w:styleId="List5">
    <w:name w:val="List 5"/>
    <w:basedOn w:val="Normal"/>
    <w:rsid w:val="006D751F"/>
    <w:pPr>
      <w:ind w:left="1800" w:hanging="360"/>
    </w:pPr>
  </w:style>
  <w:style w:type="paragraph" w:styleId="ListBullet">
    <w:name w:val="List Bullet"/>
    <w:basedOn w:val="Normal"/>
    <w:autoRedefine/>
    <w:rsid w:val="006D751F"/>
    <w:pPr>
      <w:numPr>
        <w:numId w:val="6"/>
      </w:numPr>
    </w:pPr>
  </w:style>
  <w:style w:type="paragraph" w:styleId="ListBullet2">
    <w:name w:val="List Bullet 2"/>
    <w:basedOn w:val="Normal"/>
    <w:autoRedefine/>
    <w:rsid w:val="006D751F"/>
    <w:pPr>
      <w:numPr>
        <w:numId w:val="7"/>
      </w:numPr>
    </w:pPr>
  </w:style>
  <w:style w:type="paragraph" w:styleId="ListBullet3">
    <w:name w:val="List Bullet 3"/>
    <w:basedOn w:val="Normal"/>
    <w:autoRedefine/>
    <w:rsid w:val="006D751F"/>
    <w:pPr>
      <w:numPr>
        <w:numId w:val="8"/>
      </w:numPr>
    </w:pPr>
  </w:style>
  <w:style w:type="paragraph" w:styleId="ListBullet4">
    <w:name w:val="List Bullet 4"/>
    <w:basedOn w:val="Normal"/>
    <w:autoRedefine/>
    <w:rsid w:val="006D751F"/>
    <w:pPr>
      <w:numPr>
        <w:numId w:val="9"/>
      </w:numPr>
    </w:pPr>
  </w:style>
  <w:style w:type="paragraph" w:styleId="ListBullet5">
    <w:name w:val="List Bullet 5"/>
    <w:basedOn w:val="Normal"/>
    <w:autoRedefine/>
    <w:rsid w:val="006D751F"/>
    <w:pPr>
      <w:numPr>
        <w:numId w:val="10"/>
      </w:numPr>
    </w:pPr>
  </w:style>
  <w:style w:type="paragraph" w:styleId="ListContinue">
    <w:name w:val="List Continue"/>
    <w:basedOn w:val="Normal"/>
    <w:rsid w:val="006D751F"/>
    <w:pPr>
      <w:spacing w:after="120"/>
      <w:ind w:left="360"/>
    </w:pPr>
  </w:style>
  <w:style w:type="paragraph" w:styleId="ListContinue2">
    <w:name w:val="List Continue 2"/>
    <w:basedOn w:val="Normal"/>
    <w:rsid w:val="006D751F"/>
    <w:pPr>
      <w:spacing w:after="120"/>
      <w:ind w:left="720"/>
    </w:pPr>
  </w:style>
  <w:style w:type="paragraph" w:styleId="ListContinue3">
    <w:name w:val="List Continue 3"/>
    <w:basedOn w:val="Normal"/>
    <w:rsid w:val="006D751F"/>
    <w:pPr>
      <w:spacing w:after="120"/>
      <w:ind w:left="1080"/>
    </w:pPr>
  </w:style>
  <w:style w:type="paragraph" w:styleId="ListContinue4">
    <w:name w:val="List Continue 4"/>
    <w:basedOn w:val="Normal"/>
    <w:rsid w:val="006D751F"/>
    <w:pPr>
      <w:spacing w:after="120"/>
      <w:ind w:left="1440"/>
    </w:pPr>
  </w:style>
  <w:style w:type="paragraph" w:styleId="ListContinue5">
    <w:name w:val="List Continue 5"/>
    <w:basedOn w:val="Normal"/>
    <w:rsid w:val="006D751F"/>
    <w:pPr>
      <w:spacing w:after="120"/>
      <w:ind w:left="1800"/>
    </w:pPr>
  </w:style>
  <w:style w:type="paragraph" w:styleId="ListNumber">
    <w:name w:val="List Number"/>
    <w:basedOn w:val="Normal"/>
    <w:rsid w:val="006D751F"/>
    <w:pPr>
      <w:numPr>
        <w:numId w:val="11"/>
      </w:numPr>
    </w:pPr>
  </w:style>
  <w:style w:type="paragraph" w:styleId="ListNumber2">
    <w:name w:val="List Number 2"/>
    <w:basedOn w:val="Normal"/>
    <w:rsid w:val="006D751F"/>
    <w:pPr>
      <w:numPr>
        <w:numId w:val="12"/>
      </w:numPr>
    </w:pPr>
  </w:style>
  <w:style w:type="paragraph" w:styleId="ListNumber3">
    <w:name w:val="List Number 3"/>
    <w:basedOn w:val="Normal"/>
    <w:rsid w:val="006D751F"/>
    <w:pPr>
      <w:numPr>
        <w:numId w:val="13"/>
      </w:numPr>
    </w:pPr>
  </w:style>
  <w:style w:type="paragraph" w:styleId="ListNumber4">
    <w:name w:val="List Number 4"/>
    <w:basedOn w:val="Normal"/>
    <w:rsid w:val="006D751F"/>
    <w:pPr>
      <w:numPr>
        <w:numId w:val="14"/>
      </w:numPr>
    </w:pPr>
  </w:style>
  <w:style w:type="paragraph" w:styleId="ListNumber5">
    <w:name w:val="List Number 5"/>
    <w:basedOn w:val="Normal"/>
    <w:rsid w:val="006D751F"/>
    <w:pPr>
      <w:numPr>
        <w:numId w:val="15"/>
      </w:numPr>
    </w:pPr>
  </w:style>
  <w:style w:type="paragraph" w:styleId="MacroText">
    <w:name w:val="macro"/>
    <w:semiHidden/>
    <w:rsid w:val="006D751F"/>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cs="Courier New"/>
    </w:rPr>
  </w:style>
  <w:style w:type="paragraph" w:styleId="MessageHeader">
    <w:name w:val="Message Header"/>
    <w:basedOn w:val="Normal"/>
    <w:rsid w:val="006D75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D751F"/>
    <w:rPr>
      <w:sz w:val="24"/>
      <w:szCs w:val="24"/>
    </w:rPr>
  </w:style>
  <w:style w:type="paragraph" w:styleId="NormalIndent">
    <w:name w:val="Normal Indent"/>
    <w:basedOn w:val="Normal"/>
    <w:rsid w:val="006D751F"/>
    <w:pPr>
      <w:ind w:left="720"/>
    </w:pPr>
  </w:style>
  <w:style w:type="paragraph" w:styleId="NoteHeading">
    <w:name w:val="Note Heading"/>
    <w:basedOn w:val="Normal"/>
    <w:next w:val="Normal"/>
    <w:rsid w:val="006D751F"/>
  </w:style>
  <w:style w:type="paragraph" w:styleId="PlainText">
    <w:name w:val="Plain Text"/>
    <w:basedOn w:val="Normal"/>
    <w:rsid w:val="006D751F"/>
    <w:rPr>
      <w:rFonts w:ascii="Courier New" w:hAnsi="Courier New" w:cs="Courier New"/>
    </w:rPr>
  </w:style>
  <w:style w:type="paragraph" w:styleId="Salutation">
    <w:name w:val="Salutation"/>
    <w:basedOn w:val="Normal"/>
    <w:next w:val="Normal"/>
    <w:rsid w:val="006D751F"/>
  </w:style>
  <w:style w:type="paragraph" w:styleId="Signature">
    <w:name w:val="Signature"/>
    <w:basedOn w:val="Normal"/>
    <w:rsid w:val="006D751F"/>
    <w:pPr>
      <w:ind w:left="4320"/>
    </w:pPr>
  </w:style>
  <w:style w:type="paragraph" w:styleId="Subtitle">
    <w:name w:val="Subtitle"/>
    <w:basedOn w:val="Normal"/>
    <w:qFormat/>
    <w:rsid w:val="006D751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D751F"/>
    <w:pPr>
      <w:ind w:left="200" w:hanging="200"/>
    </w:pPr>
  </w:style>
  <w:style w:type="paragraph" w:styleId="TableofFigures">
    <w:name w:val="table of figures"/>
    <w:basedOn w:val="Normal"/>
    <w:next w:val="Normal"/>
    <w:semiHidden/>
    <w:rsid w:val="006D751F"/>
    <w:pPr>
      <w:ind w:left="400" w:hanging="400"/>
    </w:pPr>
  </w:style>
  <w:style w:type="paragraph" w:styleId="TOAHeading">
    <w:name w:val="toa heading"/>
    <w:basedOn w:val="Normal"/>
    <w:next w:val="Normal"/>
    <w:semiHidden/>
    <w:rsid w:val="006D751F"/>
    <w:pPr>
      <w:spacing w:before="120"/>
    </w:pPr>
    <w:rPr>
      <w:rFonts w:ascii="Arial" w:hAnsi="Arial" w:cs="Arial"/>
      <w:b/>
      <w:bCs/>
      <w:sz w:val="24"/>
      <w:szCs w:val="24"/>
    </w:rPr>
  </w:style>
  <w:style w:type="paragraph" w:styleId="TOC1">
    <w:name w:val="toc 1"/>
    <w:basedOn w:val="Normal"/>
    <w:next w:val="Normal"/>
    <w:autoRedefine/>
    <w:semiHidden/>
    <w:rsid w:val="006D751F"/>
  </w:style>
  <w:style w:type="paragraph" w:styleId="TOC2">
    <w:name w:val="toc 2"/>
    <w:basedOn w:val="Normal"/>
    <w:next w:val="Normal"/>
    <w:autoRedefine/>
    <w:semiHidden/>
    <w:rsid w:val="006D751F"/>
    <w:pPr>
      <w:ind w:left="200"/>
    </w:pPr>
  </w:style>
  <w:style w:type="paragraph" w:styleId="TOC3">
    <w:name w:val="toc 3"/>
    <w:basedOn w:val="Normal"/>
    <w:next w:val="Normal"/>
    <w:autoRedefine/>
    <w:semiHidden/>
    <w:rsid w:val="006D751F"/>
    <w:pPr>
      <w:ind w:left="400"/>
    </w:pPr>
  </w:style>
  <w:style w:type="paragraph" w:styleId="TOC4">
    <w:name w:val="toc 4"/>
    <w:basedOn w:val="Normal"/>
    <w:next w:val="Normal"/>
    <w:autoRedefine/>
    <w:semiHidden/>
    <w:rsid w:val="006D751F"/>
    <w:pPr>
      <w:ind w:left="600"/>
    </w:pPr>
  </w:style>
  <w:style w:type="paragraph" w:styleId="TOC5">
    <w:name w:val="toc 5"/>
    <w:basedOn w:val="Normal"/>
    <w:next w:val="Normal"/>
    <w:autoRedefine/>
    <w:semiHidden/>
    <w:rsid w:val="006D751F"/>
    <w:pPr>
      <w:ind w:left="800"/>
    </w:pPr>
  </w:style>
  <w:style w:type="paragraph" w:styleId="TOC6">
    <w:name w:val="toc 6"/>
    <w:basedOn w:val="Normal"/>
    <w:next w:val="Normal"/>
    <w:autoRedefine/>
    <w:semiHidden/>
    <w:rsid w:val="006D751F"/>
    <w:pPr>
      <w:ind w:left="1000"/>
    </w:pPr>
  </w:style>
  <w:style w:type="paragraph" w:styleId="TOC7">
    <w:name w:val="toc 7"/>
    <w:basedOn w:val="Normal"/>
    <w:next w:val="Normal"/>
    <w:autoRedefine/>
    <w:semiHidden/>
    <w:rsid w:val="006D751F"/>
    <w:pPr>
      <w:ind w:left="1200"/>
    </w:pPr>
  </w:style>
  <w:style w:type="paragraph" w:styleId="TOC8">
    <w:name w:val="toc 8"/>
    <w:basedOn w:val="Normal"/>
    <w:next w:val="Normal"/>
    <w:autoRedefine/>
    <w:semiHidden/>
    <w:rsid w:val="006D751F"/>
    <w:pPr>
      <w:ind w:left="1400"/>
    </w:pPr>
  </w:style>
  <w:style w:type="paragraph" w:styleId="TOC9">
    <w:name w:val="toc 9"/>
    <w:basedOn w:val="Normal"/>
    <w:next w:val="Normal"/>
    <w:autoRedefine/>
    <w:semiHidden/>
    <w:rsid w:val="006D751F"/>
    <w:pPr>
      <w:ind w:left="1600"/>
    </w:pPr>
  </w:style>
  <w:style w:type="paragraph" w:customStyle="1" w:styleId="Cc">
    <w:name w:val="Cc"/>
    <w:basedOn w:val="Header"/>
    <w:rsid w:val="00562D61"/>
    <w:pPr>
      <w:numPr>
        <w:numId w:val="4"/>
      </w:numPr>
      <w:tabs>
        <w:tab w:val="clear" w:pos="360"/>
        <w:tab w:val="clear" w:pos="4320"/>
        <w:tab w:val="clear" w:pos="8640"/>
        <w:tab w:val="num" w:pos="1080"/>
      </w:tabs>
      <w:ind w:left="1008"/>
    </w:pPr>
    <w:rPr>
      <w:sz w:val="22"/>
    </w:rPr>
  </w:style>
  <w:style w:type="character" w:styleId="CommentReference">
    <w:name w:val="annotation reference"/>
    <w:basedOn w:val="DefaultParagraphFont"/>
    <w:semiHidden/>
    <w:rsid w:val="004B2F7D"/>
    <w:rPr>
      <w:sz w:val="16"/>
      <w:szCs w:val="16"/>
    </w:rPr>
  </w:style>
  <w:style w:type="table" w:styleId="TableGrid">
    <w:name w:val="Table Grid"/>
    <w:basedOn w:val="TableNormal"/>
    <w:uiPriority w:val="59"/>
    <w:rsid w:val="003B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585"/>
    <w:pPr>
      <w:widowControl w:val="0"/>
      <w:adjustRightInd w:val="0"/>
      <w:jc w:val="both"/>
      <w:textAlignment w:val="baseline"/>
    </w:pPr>
  </w:style>
  <w:style w:type="paragraph" w:styleId="ListParagraph">
    <w:name w:val="List Paragraph"/>
    <w:basedOn w:val="Normal"/>
    <w:uiPriority w:val="34"/>
    <w:qFormat/>
    <w:rsid w:val="00397589"/>
    <w:pPr>
      <w:ind w:left="720"/>
      <w:contextualSpacing/>
    </w:pPr>
  </w:style>
  <w:style w:type="paragraph" w:styleId="Revision">
    <w:name w:val="Revision"/>
    <w:hidden/>
    <w:uiPriority w:val="99"/>
    <w:semiHidden/>
    <w:rsid w:val="00813A22"/>
  </w:style>
  <w:style w:type="character" w:customStyle="1" w:styleId="FooterChar">
    <w:name w:val="Footer Char"/>
    <w:basedOn w:val="DefaultParagraphFont"/>
    <w:link w:val="Footer"/>
    <w:uiPriority w:val="99"/>
    <w:rsid w:val="003E5308"/>
  </w:style>
  <w:style w:type="character" w:styleId="Hyperlink">
    <w:name w:val="Hyperlink"/>
    <w:basedOn w:val="DefaultParagraphFont"/>
    <w:uiPriority w:val="99"/>
    <w:unhideWhenUsed/>
    <w:rsid w:val="007D5711"/>
    <w:rPr>
      <w:color w:val="0000FF" w:themeColor="hyperlink"/>
      <w:u w:val="single"/>
    </w:rPr>
  </w:style>
  <w:style w:type="character" w:styleId="FollowedHyperlink">
    <w:name w:val="FollowedHyperlink"/>
    <w:basedOn w:val="DefaultParagraphFont"/>
    <w:uiPriority w:val="99"/>
    <w:semiHidden/>
    <w:unhideWhenUsed/>
    <w:rsid w:val="00E3145D"/>
    <w:rPr>
      <w:color w:val="800080" w:themeColor="followedHyperlink"/>
      <w:u w:val="single"/>
    </w:rPr>
  </w:style>
  <w:style w:type="character" w:customStyle="1" w:styleId="CommentTextChar">
    <w:name w:val="Comment Text Char"/>
    <w:basedOn w:val="DefaultParagraphFont"/>
    <w:link w:val="CommentText"/>
    <w:semiHidden/>
    <w:rsid w:val="00E83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C4"/>
    <w:pPr>
      <w:widowControl w:val="0"/>
      <w:adjustRightInd w:val="0"/>
      <w:spacing w:line="360" w:lineRule="atLeast"/>
      <w:jc w:val="both"/>
      <w:textAlignment w:val="baseline"/>
    </w:pPr>
  </w:style>
  <w:style w:type="paragraph" w:styleId="Heading1">
    <w:name w:val="heading 1"/>
    <w:basedOn w:val="Normal"/>
    <w:next w:val="Normal"/>
    <w:qFormat/>
    <w:rsid w:val="0073568A"/>
    <w:pPr>
      <w:keepNext/>
      <w:ind w:right="43"/>
      <w:jc w:val="center"/>
      <w:outlineLvl w:val="0"/>
    </w:pPr>
    <w:rPr>
      <w:b/>
      <w:sz w:val="32"/>
    </w:rPr>
  </w:style>
  <w:style w:type="paragraph" w:styleId="Heading2">
    <w:name w:val="heading 2"/>
    <w:basedOn w:val="Normal"/>
    <w:next w:val="Normal"/>
    <w:qFormat/>
    <w:rsid w:val="0073568A"/>
    <w:pPr>
      <w:keepNext/>
      <w:pBdr>
        <w:bottom w:val="double" w:sz="6" w:space="1" w:color="auto"/>
      </w:pBdr>
      <w:spacing w:after="480"/>
      <w:ind w:right="43"/>
      <w:jc w:val="center"/>
      <w:outlineLvl w:val="1"/>
    </w:pPr>
    <w:rPr>
      <w:b/>
      <w:sz w:val="32"/>
    </w:rPr>
  </w:style>
  <w:style w:type="paragraph" w:styleId="Heading3">
    <w:name w:val="heading 3"/>
    <w:basedOn w:val="Normal"/>
    <w:next w:val="Normal"/>
    <w:qFormat/>
    <w:rsid w:val="0073568A"/>
    <w:pPr>
      <w:keepNext/>
      <w:ind w:right="36" w:firstLine="720"/>
      <w:outlineLvl w:val="2"/>
    </w:pPr>
    <w:rPr>
      <w:sz w:val="23"/>
      <w:u w:val="single"/>
    </w:rPr>
  </w:style>
  <w:style w:type="paragraph" w:styleId="Heading4">
    <w:name w:val="heading 4"/>
    <w:basedOn w:val="Normal"/>
    <w:next w:val="Normal"/>
    <w:qFormat/>
    <w:rsid w:val="0073568A"/>
    <w:pPr>
      <w:keepNext/>
      <w:jc w:val="center"/>
      <w:outlineLvl w:val="3"/>
    </w:pPr>
    <w:rPr>
      <w:b/>
      <w:sz w:val="24"/>
      <w:u w:val="single"/>
    </w:rPr>
  </w:style>
  <w:style w:type="paragraph" w:styleId="Heading5">
    <w:name w:val="heading 5"/>
    <w:basedOn w:val="Normal"/>
    <w:next w:val="Normal"/>
    <w:qFormat/>
    <w:rsid w:val="0073568A"/>
    <w:pPr>
      <w:keepNext/>
      <w:pageBreakBefore/>
      <w:ind w:right="43"/>
      <w:jc w:val="center"/>
      <w:outlineLvl w:val="4"/>
    </w:pPr>
    <w:rPr>
      <w:b/>
      <w:sz w:val="24"/>
    </w:rPr>
  </w:style>
  <w:style w:type="paragraph" w:styleId="Heading6">
    <w:name w:val="heading 6"/>
    <w:basedOn w:val="Normal"/>
    <w:next w:val="Normal"/>
    <w:qFormat/>
    <w:rsid w:val="0073568A"/>
    <w:pPr>
      <w:keepNext/>
      <w:outlineLvl w:val="5"/>
    </w:pPr>
    <w:rPr>
      <w:b/>
      <w:sz w:val="24"/>
    </w:rPr>
  </w:style>
  <w:style w:type="paragraph" w:styleId="Heading7">
    <w:name w:val="heading 7"/>
    <w:basedOn w:val="Normal"/>
    <w:next w:val="Normal"/>
    <w:qFormat/>
    <w:rsid w:val="0073568A"/>
    <w:pPr>
      <w:keepNext/>
      <w:spacing w:before="360" w:after="240"/>
      <w:ind w:right="43"/>
      <w:jc w:val="center"/>
      <w:outlineLvl w:val="6"/>
    </w:pPr>
    <w:rPr>
      <w:b/>
      <w:sz w:val="24"/>
      <w:u w:val="single"/>
    </w:rPr>
  </w:style>
  <w:style w:type="paragraph" w:styleId="Heading8">
    <w:name w:val="heading 8"/>
    <w:basedOn w:val="Normal"/>
    <w:next w:val="Normal"/>
    <w:qFormat/>
    <w:rsid w:val="0073568A"/>
    <w:pPr>
      <w:keepNext/>
      <w:numPr>
        <w:ilvl w:val="12"/>
      </w:numPr>
      <w:ind w:right="36"/>
      <w:jc w:val="center"/>
      <w:outlineLvl w:val="7"/>
    </w:pPr>
    <w:rPr>
      <w:b/>
      <w:sz w:val="23"/>
      <w:u w:val="single"/>
    </w:rPr>
  </w:style>
  <w:style w:type="paragraph" w:styleId="Heading9">
    <w:name w:val="heading 9"/>
    <w:basedOn w:val="Normal"/>
    <w:next w:val="Normal"/>
    <w:qFormat/>
    <w:rsid w:val="0073568A"/>
    <w:pPr>
      <w:keepNext/>
      <w:spacing w:before="360" w:after="240"/>
      <w:ind w:right="43"/>
      <w:jc w:val="center"/>
      <w:outlineLvl w:val="8"/>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568A"/>
    <w:pPr>
      <w:ind w:right="36" w:firstLine="720"/>
    </w:pPr>
    <w:rPr>
      <w:sz w:val="24"/>
    </w:rPr>
  </w:style>
  <w:style w:type="paragraph" w:styleId="BodyText3">
    <w:name w:val="Body Text 3"/>
    <w:basedOn w:val="Normal"/>
    <w:rsid w:val="0073568A"/>
    <w:pPr>
      <w:ind w:right="36"/>
    </w:pPr>
    <w:rPr>
      <w:sz w:val="24"/>
    </w:rPr>
  </w:style>
  <w:style w:type="paragraph" w:styleId="BodyText2">
    <w:name w:val="Body Text 2"/>
    <w:basedOn w:val="Normal"/>
    <w:rsid w:val="0073568A"/>
    <w:pPr>
      <w:ind w:right="36"/>
    </w:pPr>
    <w:rPr>
      <w:sz w:val="23"/>
    </w:rPr>
  </w:style>
  <w:style w:type="paragraph" w:styleId="BodyText">
    <w:name w:val="Body Text"/>
    <w:basedOn w:val="Normal"/>
    <w:rsid w:val="0073568A"/>
    <w:pPr>
      <w:ind w:right="43"/>
    </w:pPr>
    <w:rPr>
      <w:sz w:val="23"/>
    </w:rPr>
  </w:style>
  <w:style w:type="paragraph" w:styleId="BlockText">
    <w:name w:val="Block Text"/>
    <w:basedOn w:val="Normal"/>
    <w:rsid w:val="0073568A"/>
    <w:pPr>
      <w:ind w:left="360" w:right="36" w:hanging="360"/>
    </w:pPr>
    <w:rPr>
      <w:sz w:val="23"/>
    </w:rPr>
  </w:style>
  <w:style w:type="character" w:styleId="PageNumber">
    <w:name w:val="page number"/>
    <w:basedOn w:val="DefaultParagraphFont"/>
    <w:rsid w:val="0073568A"/>
  </w:style>
  <w:style w:type="paragraph" w:styleId="Footer">
    <w:name w:val="footer"/>
    <w:basedOn w:val="Normal"/>
    <w:link w:val="FooterChar"/>
    <w:uiPriority w:val="99"/>
    <w:rsid w:val="0073568A"/>
    <w:pPr>
      <w:tabs>
        <w:tab w:val="center" w:pos="4320"/>
        <w:tab w:val="right" w:pos="8640"/>
      </w:tabs>
    </w:pPr>
  </w:style>
  <w:style w:type="paragraph" w:styleId="Header">
    <w:name w:val="header"/>
    <w:basedOn w:val="Normal"/>
    <w:rsid w:val="0073568A"/>
    <w:pPr>
      <w:tabs>
        <w:tab w:val="center" w:pos="4320"/>
        <w:tab w:val="right" w:pos="8640"/>
      </w:tabs>
    </w:pPr>
    <w:rPr>
      <w:sz w:val="24"/>
    </w:rPr>
  </w:style>
  <w:style w:type="paragraph" w:styleId="DocumentMap">
    <w:name w:val="Document Map"/>
    <w:basedOn w:val="Normal"/>
    <w:semiHidden/>
    <w:rsid w:val="0073568A"/>
    <w:pPr>
      <w:shd w:val="clear" w:color="auto" w:fill="000080"/>
    </w:pPr>
    <w:rPr>
      <w:rFonts w:ascii="Tahoma" w:hAnsi="Tahoma"/>
    </w:rPr>
  </w:style>
  <w:style w:type="paragraph" w:styleId="Title">
    <w:name w:val="Title"/>
    <w:basedOn w:val="Normal"/>
    <w:qFormat/>
    <w:rsid w:val="0073568A"/>
    <w:pPr>
      <w:jc w:val="center"/>
    </w:pPr>
    <w:rPr>
      <w:b/>
      <w:sz w:val="32"/>
    </w:rPr>
  </w:style>
  <w:style w:type="paragraph" w:styleId="BodyTextIndent2">
    <w:name w:val="Body Text Indent 2"/>
    <w:basedOn w:val="Normal"/>
    <w:rsid w:val="0073568A"/>
    <w:pPr>
      <w:ind w:firstLine="720"/>
    </w:pPr>
    <w:rPr>
      <w:sz w:val="23"/>
    </w:rPr>
  </w:style>
  <w:style w:type="paragraph" w:styleId="BalloonText">
    <w:name w:val="Balloon Text"/>
    <w:basedOn w:val="Normal"/>
    <w:semiHidden/>
    <w:rsid w:val="00177FF1"/>
    <w:rPr>
      <w:rFonts w:ascii="Tahoma" w:hAnsi="Tahoma" w:cs="Tahoma"/>
      <w:sz w:val="16"/>
      <w:szCs w:val="16"/>
    </w:rPr>
  </w:style>
  <w:style w:type="paragraph" w:styleId="BodyTextFirstIndent">
    <w:name w:val="Body Text First Indent"/>
    <w:basedOn w:val="BodyText"/>
    <w:rsid w:val="006D751F"/>
    <w:pPr>
      <w:spacing w:after="120"/>
      <w:ind w:right="0" w:firstLine="210"/>
      <w:jc w:val="left"/>
    </w:pPr>
    <w:rPr>
      <w:sz w:val="20"/>
    </w:rPr>
  </w:style>
  <w:style w:type="paragraph" w:styleId="BodyTextFirstIndent2">
    <w:name w:val="Body Text First Indent 2"/>
    <w:basedOn w:val="BodyTextIndent"/>
    <w:rsid w:val="006D751F"/>
    <w:pPr>
      <w:spacing w:after="120"/>
      <w:ind w:left="360" w:right="0" w:firstLine="210"/>
      <w:jc w:val="left"/>
    </w:pPr>
    <w:rPr>
      <w:sz w:val="20"/>
    </w:rPr>
  </w:style>
  <w:style w:type="paragraph" w:styleId="BodyTextIndent3">
    <w:name w:val="Body Text Indent 3"/>
    <w:basedOn w:val="Normal"/>
    <w:rsid w:val="006D751F"/>
    <w:pPr>
      <w:spacing w:after="120"/>
      <w:ind w:left="360"/>
    </w:pPr>
    <w:rPr>
      <w:sz w:val="16"/>
      <w:szCs w:val="16"/>
    </w:rPr>
  </w:style>
  <w:style w:type="paragraph" w:styleId="Caption">
    <w:name w:val="caption"/>
    <w:basedOn w:val="Normal"/>
    <w:next w:val="Normal"/>
    <w:qFormat/>
    <w:rsid w:val="006D751F"/>
    <w:pPr>
      <w:spacing w:before="120" w:after="120"/>
    </w:pPr>
    <w:rPr>
      <w:b/>
      <w:bCs/>
    </w:rPr>
  </w:style>
  <w:style w:type="paragraph" w:styleId="Closing">
    <w:name w:val="Closing"/>
    <w:basedOn w:val="Normal"/>
    <w:rsid w:val="006D751F"/>
    <w:pPr>
      <w:ind w:left="4320"/>
    </w:pPr>
  </w:style>
  <w:style w:type="paragraph" w:styleId="CommentText">
    <w:name w:val="annotation text"/>
    <w:basedOn w:val="Normal"/>
    <w:link w:val="CommentTextChar"/>
    <w:semiHidden/>
    <w:rsid w:val="006D751F"/>
  </w:style>
  <w:style w:type="paragraph" w:styleId="CommentSubject">
    <w:name w:val="annotation subject"/>
    <w:basedOn w:val="CommentText"/>
    <w:next w:val="CommentText"/>
    <w:semiHidden/>
    <w:rsid w:val="006D751F"/>
    <w:rPr>
      <w:b/>
      <w:bCs/>
    </w:rPr>
  </w:style>
  <w:style w:type="paragraph" w:styleId="Date">
    <w:name w:val="Date"/>
    <w:basedOn w:val="Normal"/>
    <w:next w:val="Normal"/>
    <w:rsid w:val="006D751F"/>
  </w:style>
  <w:style w:type="paragraph" w:styleId="E-mailSignature">
    <w:name w:val="E-mail Signature"/>
    <w:basedOn w:val="Normal"/>
    <w:rsid w:val="006D751F"/>
  </w:style>
  <w:style w:type="paragraph" w:styleId="EndnoteText">
    <w:name w:val="endnote text"/>
    <w:basedOn w:val="Normal"/>
    <w:semiHidden/>
    <w:rsid w:val="006D751F"/>
  </w:style>
  <w:style w:type="paragraph" w:styleId="EnvelopeAddress">
    <w:name w:val="envelope address"/>
    <w:basedOn w:val="Normal"/>
    <w:rsid w:val="006D75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D751F"/>
    <w:rPr>
      <w:rFonts w:ascii="Arial" w:hAnsi="Arial" w:cs="Arial"/>
    </w:rPr>
  </w:style>
  <w:style w:type="paragraph" w:styleId="FootnoteText">
    <w:name w:val="footnote text"/>
    <w:basedOn w:val="Normal"/>
    <w:semiHidden/>
    <w:rsid w:val="006D751F"/>
  </w:style>
  <w:style w:type="paragraph" w:styleId="HTMLAddress">
    <w:name w:val="HTML Address"/>
    <w:basedOn w:val="Normal"/>
    <w:rsid w:val="006D751F"/>
    <w:rPr>
      <w:i/>
      <w:iCs/>
    </w:rPr>
  </w:style>
  <w:style w:type="paragraph" w:styleId="HTMLPreformatted">
    <w:name w:val="HTML Preformatted"/>
    <w:basedOn w:val="Normal"/>
    <w:rsid w:val="006D751F"/>
    <w:rPr>
      <w:rFonts w:ascii="Courier New" w:hAnsi="Courier New" w:cs="Courier New"/>
    </w:rPr>
  </w:style>
  <w:style w:type="paragraph" w:styleId="Index1">
    <w:name w:val="index 1"/>
    <w:basedOn w:val="Normal"/>
    <w:next w:val="Normal"/>
    <w:autoRedefine/>
    <w:semiHidden/>
    <w:rsid w:val="006D751F"/>
    <w:pPr>
      <w:ind w:left="200" w:hanging="200"/>
    </w:pPr>
  </w:style>
  <w:style w:type="paragraph" w:styleId="Index2">
    <w:name w:val="index 2"/>
    <w:basedOn w:val="Normal"/>
    <w:next w:val="Normal"/>
    <w:autoRedefine/>
    <w:semiHidden/>
    <w:rsid w:val="006D751F"/>
    <w:pPr>
      <w:ind w:left="400" w:hanging="200"/>
    </w:pPr>
  </w:style>
  <w:style w:type="paragraph" w:styleId="Index3">
    <w:name w:val="index 3"/>
    <w:basedOn w:val="Normal"/>
    <w:next w:val="Normal"/>
    <w:autoRedefine/>
    <w:semiHidden/>
    <w:rsid w:val="006D751F"/>
    <w:pPr>
      <w:ind w:left="600" w:hanging="200"/>
    </w:pPr>
  </w:style>
  <w:style w:type="paragraph" w:styleId="Index4">
    <w:name w:val="index 4"/>
    <w:basedOn w:val="Normal"/>
    <w:next w:val="Normal"/>
    <w:autoRedefine/>
    <w:semiHidden/>
    <w:rsid w:val="006D751F"/>
    <w:pPr>
      <w:ind w:left="800" w:hanging="200"/>
    </w:pPr>
  </w:style>
  <w:style w:type="paragraph" w:styleId="Index5">
    <w:name w:val="index 5"/>
    <w:basedOn w:val="Normal"/>
    <w:next w:val="Normal"/>
    <w:autoRedefine/>
    <w:semiHidden/>
    <w:rsid w:val="006D751F"/>
    <w:pPr>
      <w:ind w:left="1000" w:hanging="200"/>
    </w:pPr>
  </w:style>
  <w:style w:type="paragraph" w:styleId="Index6">
    <w:name w:val="index 6"/>
    <w:basedOn w:val="Normal"/>
    <w:next w:val="Normal"/>
    <w:autoRedefine/>
    <w:semiHidden/>
    <w:rsid w:val="006D751F"/>
    <w:pPr>
      <w:ind w:left="1200" w:hanging="200"/>
    </w:pPr>
  </w:style>
  <w:style w:type="paragraph" w:styleId="Index7">
    <w:name w:val="index 7"/>
    <w:basedOn w:val="Normal"/>
    <w:next w:val="Normal"/>
    <w:autoRedefine/>
    <w:semiHidden/>
    <w:rsid w:val="006D751F"/>
    <w:pPr>
      <w:ind w:left="1400" w:hanging="200"/>
    </w:pPr>
  </w:style>
  <w:style w:type="paragraph" w:styleId="Index8">
    <w:name w:val="index 8"/>
    <w:basedOn w:val="Normal"/>
    <w:next w:val="Normal"/>
    <w:autoRedefine/>
    <w:semiHidden/>
    <w:rsid w:val="006D751F"/>
    <w:pPr>
      <w:ind w:left="1600" w:hanging="200"/>
    </w:pPr>
  </w:style>
  <w:style w:type="paragraph" w:styleId="Index9">
    <w:name w:val="index 9"/>
    <w:basedOn w:val="Normal"/>
    <w:next w:val="Normal"/>
    <w:autoRedefine/>
    <w:semiHidden/>
    <w:rsid w:val="006D751F"/>
    <w:pPr>
      <w:ind w:left="1800" w:hanging="200"/>
    </w:pPr>
  </w:style>
  <w:style w:type="paragraph" w:styleId="IndexHeading">
    <w:name w:val="index heading"/>
    <w:basedOn w:val="Normal"/>
    <w:next w:val="Index1"/>
    <w:semiHidden/>
    <w:rsid w:val="006D751F"/>
    <w:rPr>
      <w:rFonts w:ascii="Arial" w:hAnsi="Arial" w:cs="Arial"/>
      <w:b/>
      <w:bCs/>
    </w:rPr>
  </w:style>
  <w:style w:type="paragraph" w:styleId="List">
    <w:name w:val="List"/>
    <w:basedOn w:val="Normal"/>
    <w:rsid w:val="006D751F"/>
    <w:pPr>
      <w:ind w:left="360" w:hanging="360"/>
    </w:pPr>
  </w:style>
  <w:style w:type="paragraph" w:styleId="List2">
    <w:name w:val="List 2"/>
    <w:basedOn w:val="Normal"/>
    <w:rsid w:val="006D751F"/>
    <w:pPr>
      <w:ind w:left="720" w:hanging="360"/>
    </w:pPr>
  </w:style>
  <w:style w:type="paragraph" w:styleId="List3">
    <w:name w:val="List 3"/>
    <w:basedOn w:val="Normal"/>
    <w:rsid w:val="006D751F"/>
    <w:pPr>
      <w:ind w:left="1080" w:hanging="360"/>
    </w:pPr>
  </w:style>
  <w:style w:type="paragraph" w:styleId="List4">
    <w:name w:val="List 4"/>
    <w:basedOn w:val="Normal"/>
    <w:rsid w:val="006D751F"/>
    <w:pPr>
      <w:ind w:left="1440" w:hanging="360"/>
    </w:pPr>
  </w:style>
  <w:style w:type="paragraph" w:styleId="List5">
    <w:name w:val="List 5"/>
    <w:basedOn w:val="Normal"/>
    <w:rsid w:val="006D751F"/>
    <w:pPr>
      <w:ind w:left="1800" w:hanging="360"/>
    </w:pPr>
  </w:style>
  <w:style w:type="paragraph" w:styleId="ListBullet">
    <w:name w:val="List Bullet"/>
    <w:basedOn w:val="Normal"/>
    <w:autoRedefine/>
    <w:rsid w:val="006D751F"/>
    <w:pPr>
      <w:numPr>
        <w:numId w:val="6"/>
      </w:numPr>
    </w:pPr>
  </w:style>
  <w:style w:type="paragraph" w:styleId="ListBullet2">
    <w:name w:val="List Bullet 2"/>
    <w:basedOn w:val="Normal"/>
    <w:autoRedefine/>
    <w:rsid w:val="006D751F"/>
    <w:pPr>
      <w:numPr>
        <w:numId w:val="7"/>
      </w:numPr>
    </w:pPr>
  </w:style>
  <w:style w:type="paragraph" w:styleId="ListBullet3">
    <w:name w:val="List Bullet 3"/>
    <w:basedOn w:val="Normal"/>
    <w:autoRedefine/>
    <w:rsid w:val="006D751F"/>
    <w:pPr>
      <w:numPr>
        <w:numId w:val="8"/>
      </w:numPr>
    </w:pPr>
  </w:style>
  <w:style w:type="paragraph" w:styleId="ListBullet4">
    <w:name w:val="List Bullet 4"/>
    <w:basedOn w:val="Normal"/>
    <w:autoRedefine/>
    <w:rsid w:val="006D751F"/>
    <w:pPr>
      <w:numPr>
        <w:numId w:val="9"/>
      </w:numPr>
    </w:pPr>
  </w:style>
  <w:style w:type="paragraph" w:styleId="ListBullet5">
    <w:name w:val="List Bullet 5"/>
    <w:basedOn w:val="Normal"/>
    <w:autoRedefine/>
    <w:rsid w:val="006D751F"/>
    <w:pPr>
      <w:numPr>
        <w:numId w:val="10"/>
      </w:numPr>
    </w:pPr>
  </w:style>
  <w:style w:type="paragraph" w:styleId="ListContinue">
    <w:name w:val="List Continue"/>
    <w:basedOn w:val="Normal"/>
    <w:rsid w:val="006D751F"/>
    <w:pPr>
      <w:spacing w:after="120"/>
      <w:ind w:left="360"/>
    </w:pPr>
  </w:style>
  <w:style w:type="paragraph" w:styleId="ListContinue2">
    <w:name w:val="List Continue 2"/>
    <w:basedOn w:val="Normal"/>
    <w:rsid w:val="006D751F"/>
    <w:pPr>
      <w:spacing w:after="120"/>
      <w:ind w:left="720"/>
    </w:pPr>
  </w:style>
  <w:style w:type="paragraph" w:styleId="ListContinue3">
    <w:name w:val="List Continue 3"/>
    <w:basedOn w:val="Normal"/>
    <w:rsid w:val="006D751F"/>
    <w:pPr>
      <w:spacing w:after="120"/>
      <w:ind w:left="1080"/>
    </w:pPr>
  </w:style>
  <w:style w:type="paragraph" w:styleId="ListContinue4">
    <w:name w:val="List Continue 4"/>
    <w:basedOn w:val="Normal"/>
    <w:rsid w:val="006D751F"/>
    <w:pPr>
      <w:spacing w:after="120"/>
      <w:ind w:left="1440"/>
    </w:pPr>
  </w:style>
  <w:style w:type="paragraph" w:styleId="ListContinue5">
    <w:name w:val="List Continue 5"/>
    <w:basedOn w:val="Normal"/>
    <w:rsid w:val="006D751F"/>
    <w:pPr>
      <w:spacing w:after="120"/>
      <w:ind w:left="1800"/>
    </w:pPr>
  </w:style>
  <w:style w:type="paragraph" w:styleId="ListNumber">
    <w:name w:val="List Number"/>
    <w:basedOn w:val="Normal"/>
    <w:rsid w:val="006D751F"/>
    <w:pPr>
      <w:numPr>
        <w:numId w:val="11"/>
      </w:numPr>
    </w:pPr>
  </w:style>
  <w:style w:type="paragraph" w:styleId="ListNumber2">
    <w:name w:val="List Number 2"/>
    <w:basedOn w:val="Normal"/>
    <w:rsid w:val="006D751F"/>
    <w:pPr>
      <w:numPr>
        <w:numId w:val="12"/>
      </w:numPr>
    </w:pPr>
  </w:style>
  <w:style w:type="paragraph" w:styleId="ListNumber3">
    <w:name w:val="List Number 3"/>
    <w:basedOn w:val="Normal"/>
    <w:rsid w:val="006D751F"/>
    <w:pPr>
      <w:numPr>
        <w:numId w:val="13"/>
      </w:numPr>
    </w:pPr>
  </w:style>
  <w:style w:type="paragraph" w:styleId="ListNumber4">
    <w:name w:val="List Number 4"/>
    <w:basedOn w:val="Normal"/>
    <w:rsid w:val="006D751F"/>
    <w:pPr>
      <w:numPr>
        <w:numId w:val="14"/>
      </w:numPr>
    </w:pPr>
  </w:style>
  <w:style w:type="paragraph" w:styleId="ListNumber5">
    <w:name w:val="List Number 5"/>
    <w:basedOn w:val="Normal"/>
    <w:rsid w:val="006D751F"/>
    <w:pPr>
      <w:numPr>
        <w:numId w:val="15"/>
      </w:numPr>
    </w:pPr>
  </w:style>
  <w:style w:type="paragraph" w:styleId="MacroText">
    <w:name w:val="macro"/>
    <w:semiHidden/>
    <w:rsid w:val="006D751F"/>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cs="Courier New"/>
    </w:rPr>
  </w:style>
  <w:style w:type="paragraph" w:styleId="MessageHeader">
    <w:name w:val="Message Header"/>
    <w:basedOn w:val="Normal"/>
    <w:rsid w:val="006D75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D751F"/>
    <w:rPr>
      <w:sz w:val="24"/>
      <w:szCs w:val="24"/>
    </w:rPr>
  </w:style>
  <w:style w:type="paragraph" w:styleId="NormalIndent">
    <w:name w:val="Normal Indent"/>
    <w:basedOn w:val="Normal"/>
    <w:rsid w:val="006D751F"/>
    <w:pPr>
      <w:ind w:left="720"/>
    </w:pPr>
  </w:style>
  <w:style w:type="paragraph" w:styleId="NoteHeading">
    <w:name w:val="Note Heading"/>
    <w:basedOn w:val="Normal"/>
    <w:next w:val="Normal"/>
    <w:rsid w:val="006D751F"/>
  </w:style>
  <w:style w:type="paragraph" w:styleId="PlainText">
    <w:name w:val="Plain Text"/>
    <w:basedOn w:val="Normal"/>
    <w:rsid w:val="006D751F"/>
    <w:rPr>
      <w:rFonts w:ascii="Courier New" w:hAnsi="Courier New" w:cs="Courier New"/>
    </w:rPr>
  </w:style>
  <w:style w:type="paragraph" w:styleId="Salutation">
    <w:name w:val="Salutation"/>
    <w:basedOn w:val="Normal"/>
    <w:next w:val="Normal"/>
    <w:rsid w:val="006D751F"/>
  </w:style>
  <w:style w:type="paragraph" w:styleId="Signature">
    <w:name w:val="Signature"/>
    <w:basedOn w:val="Normal"/>
    <w:rsid w:val="006D751F"/>
    <w:pPr>
      <w:ind w:left="4320"/>
    </w:pPr>
  </w:style>
  <w:style w:type="paragraph" w:styleId="Subtitle">
    <w:name w:val="Subtitle"/>
    <w:basedOn w:val="Normal"/>
    <w:qFormat/>
    <w:rsid w:val="006D751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D751F"/>
    <w:pPr>
      <w:ind w:left="200" w:hanging="200"/>
    </w:pPr>
  </w:style>
  <w:style w:type="paragraph" w:styleId="TableofFigures">
    <w:name w:val="table of figures"/>
    <w:basedOn w:val="Normal"/>
    <w:next w:val="Normal"/>
    <w:semiHidden/>
    <w:rsid w:val="006D751F"/>
    <w:pPr>
      <w:ind w:left="400" w:hanging="400"/>
    </w:pPr>
  </w:style>
  <w:style w:type="paragraph" w:styleId="TOAHeading">
    <w:name w:val="toa heading"/>
    <w:basedOn w:val="Normal"/>
    <w:next w:val="Normal"/>
    <w:semiHidden/>
    <w:rsid w:val="006D751F"/>
    <w:pPr>
      <w:spacing w:before="120"/>
    </w:pPr>
    <w:rPr>
      <w:rFonts w:ascii="Arial" w:hAnsi="Arial" w:cs="Arial"/>
      <w:b/>
      <w:bCs/>
      <w:sz w:val="24"/>
      <w:szCs w:val="24"/>
    </w:rPr>
  </w:style>
  <w:style w:type="paragraph" w:styleId="TOC1">
    <w:name w:val="toc 1"/>
    <w:basedOn w:val="Normal"/>
    <w:next w:val="Normal"/>
    <w:autoRedefine/>
    <w:semiHidden/>
    <w:rsid w:val="006D751F"/>
  </w:style>
  <w:style w:type="paragraph" w:styleId="TOC2">
    <w:name w:val="toc 2"/>
    <w:basedOn w:val="Normal"/>
    <w:next w:val="Normal"/>
    <w:autoRedefine/>
    <w:semiHidden/>
    <w:rsid w:val="006D751F"/>
    <w:pPr>
      <w:ind w:left="200"/>
    </w:pPr>
  </w:style>
  <w:style w:type="paragraph" w:styleId="TOC3">
    <w:name w:val="toc 3"/>
    <w:basedOn w:val="Normal"/>
    <w:next w:val="Normal"/>
    <w:autoRedefine/>
    <w:semiHidden/>
    <w:rsid w:val="006D751F"/>
    <w:pPr>
      <w:ind w:left="400"/>
    </w:pPr>
  </w:style>
  <w:style w:type="paragraph" w:styleId="TOC4">
    <w:name w:val="toc 4"/>
    <w:basedOn w:val="Normal"/>
    <w:next w:val="Normal"/>
    <w:autoRedefine/>
    <w:semiHidden/>
    <w:rsid w:val="006D751F"/>
    <w:pPr>
      <w:ind w:left="600"/>
    </w:pPr>
  </w:style>
  <w:style w:type="paragraph" w:styleId="TOC5">
    <w:name w:val="toc 5"/>
    <w:basedOn w:val="Normal"/>
    <w:next w:val="Normal"/>
    <w:autoRedefine/>
    <w:semiHidden/>
    <w:rsid w:val="006D751F"/>
    <w:pPr>
      <w:ind w:left="800"/>
    </w:pPr>
  </w:style>
  <w:style w:type="paragraph" w:styleId="TOC6">
    <w:name w:val="toc 6"/>
    <w:basedOn w:val="Normal"/>
    <w:next w:val="Normal"/>
    <w:autoRedefine/>
    <w:semiHidden/>
    <w:rsid w:val="006D751F"/>
    <w:pPr>
      <w:ind w:left="1000"/>
    </w:pPr>
  </w:style>
  <w:style w:type="paragraph" w:styleId="TOC7">
    <w:name w:val="toc 7"/>
    <w:basedOn w:val="Normal"/>
    <w:next w:val="Normal"/>
    <w:autoRedefine/>
    <w:semiHidden/>
    <w:rsid w:val="006D751F"/>
    <w:pPr>
      <w:ind w:left="1200"/>
    </w:pPr>
  </w:style>
  <w:style w:type="paragraph" w:styleId="TOC8">
    <w:name w:val="toc 8"/>
    <w:basedOn w:val="Normal"/>
    <w:next w:val="Normal"/>
    <w:autoRedefine/>
    <w:semiHidden/>
    <w:rsid w:val="006D751F"/>
    <w:pPr>
      <w:ind w:left="1400"/>
    </w:pPr>
  </w:style>
  <w:style w:type="paragraph" w:styleId="TOC9">
    <w:name w:val="toc 9"/>
    <w:basedOn w:val="Normal"/>
    <w:next w:val="Normal"/>
    <w:autoRedefine/>
    <w:semiHidden/>
    <w:rsid w:val="006D751F"/>
    <w:pPr>
      <w:ind w:left="1600"/>
    </w:pPr>
  </w:style>
  <w:style w:type="paragraph" w:customStyle="1" w:styleId="Cc">
    <w:name w:val="Cc"/>
    <w:basedOn w:val="Header"/>
    <w:rsid w:val="00562D61"/>
    <w:pPr>
      <w:numPr>
        <w:numId w:val="4"/>
      </w:numPr>
      <w:tabs>
        <w:tab w:val="clear" w:pos="360"/>
        <w:tab w:val="clear" w:pos="4320"/>
        <w:tab w:val="clear" w:pos="8640"/>
        <w:tab w:val="num" w:pos="1080"/>
      </w:tabs>
      <w:ind w:left="1008"/>
    </w:pPr>
    <w:rPr>
      <w:sz w:val="22"/>
    </w:rPr>
  </w:style>
  <w:style w:type="character" w:styleId="CommentReference">
    <w:name w:val="annotation reference"/>
    <w:basedOn w:val="DefaultParagraphFont"/>
    <w:semiHidden/>
    <w:rsid w:val="004B2F7D"/>
    <w:rPr>
      <w:sz w:val="16"/>
      <w:szCs w:val="16"/>
    </w:rPr>
  </w:style>
  <w:style w:type="table" w:styleId="TableGrid">
    <w:name w:val="Table Grid"/>
    <w:basedOn w:val="TableNormal"/>
    <w:uiPriority w:val="59"/>
    <w:rsid w:val="003B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585"/>
    <w:pPr>
      <w:widowControl w:val="0"/>
      <w:adjustRightInd w:val="0"/>
      <w:jc w:val="both"/>
      <w:textAlignment w:val="baseline"/>
    </w:pPr>
  </w:style>
  <w:style w:type="paragraph" w:styleId="ListParagraph">
    <w:name w:val="List Paragraph"/>
    <w:basedOn w:val="Normal"/>
    <w:uiPriority w:val="34"/>
    <w:qFormat/>
    <w:rsid w:val="00397589"/>
    <w:pPr>
      <w:ind w:left="720"/>
      <w:contextualSpacing/>
    </w:pPr>
  </w:style>
  <w:style w:type="paragraph" w:styleId="Revision">
    <w:name w:val="Revision"/>
    <w:hidden/>
    <w:uiPriority w:val="99"/>
    <w:semiHidden/>
    <w:rsid w:val="00813A22"/>
  </w:style>
  <w:style w:type="character" w:customStyle="1" w:styleId="FooterChar">
    <w:name w:val="Footer Char"/>
    <w:basedOn w:val="DefaultParagraphFont"/>
    <w:link w:val="Footer"/>
    <w:uiPriority w:val="99"/>
    <w:rsid w:val="003E5308"/>
  </w:style>
  <w:style w:type="character" w:styleId="Hyperlink">
    <w:name w:val="Hyperlink"/>
    <w:basedOn w:val="DefaultParagraphFont"/>
    <w:uiPriority w:val="99"/>
    <w:unhideWhenUsed/>
    <w:rsid w:val="007D5711"/>
    <w:rPr>
      <w:color w:val="0000FF" w:themeColor="hyperlink"/>
      <w:u w:val="single"/>
    </w:rPr>
  </w:style>
  <w:style w:type="character" w:styleId="FollowedHyperlink">
    <w:name w:val="FollowedHyperlink"/>
    <w:basedOn w:val="DefaultParagraphFont"/>
    <w:uiPriority w:val="99"/>
    <w:semiHidden/>
    <w:unhideWhenUsed/>
    <w:rsid w:val="00E3145D"/>
    <w:rPr>
      <w:color w:val="800080" w:themeColor="followedHyperlink"/>
      <w:u w:val="single"/>
    </w:rPr>
  </w:style>
  <w:style w:type="character" w:customStyle="1" w:styleId="CommentTextChar">
    <w:name w:val="Comment Text Char"/>
    <w:basedOn w:val="DefaultParagraphFont"/>
    <w:link w:val="CommentText"/>
    <w:semiHidden/>
    <w:rsid w:val="00E8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5504">
      <w:bodyDiv w:val="1"/>
      <w:marLeft w:val="0"/>
      <w:marRight w:val="0"/>
      <w:marTop w:val="0"/>
      <w:marBottom w:val="0"/>
      <w:divBdr>
        <w:top w:val="none" w:sz="0" w:space="0" w:color="auto"/>
        <w:left w:val="none" w:sz="0" w:space="0" w:color="auto"/>
        <w:bottom w:val="none" w:sz="0" w:space="0" w:color="auto"/>
        <w:right w:val="none" w:sz="0" w:space="0" w:color="auto"/>
      </w:divBdr>
    </w:div>
    <w:div w:id="744768546">
      <w:bodyDiv w:val="1"/>
      <w:marLeft w:val="0"/>
      <w:marRight w:val="0"/>
      <w:marTop w:val="0"/>
      <w:marBottom w:val="0"/>
      <w:divBdr>
        <w:top w:val="none" w:sz="0" w:space="0" w:color="auto"/>
        <w:left w:val="none" w:sz="0" w:space="0" w:color="auto"/>
        <w:bottom w:val="none" w:sz="0" w:space="0" w:color="auto"/>
        <w:right w:val="none" w:sz="0" w:space="0" w:color="auto"/>
      </w:divBdr>
    </w:div>
    <w:div w:id="979729373">
      <w:bodyDiv w:val="1"/>
      <w:marLeft w:val="0"/>
      <w:marRight w:val="0"/>
      <w:marTop w:val="0"/>
      <w:marBottom w:val="0"/>
      <w:divBdr>
        <w:top w:val="none" w:sz="0" w:space="0" w:color="auto"/>
        <w:left w:val="none" w:sz="0" w:space="0" w:color="auto"/>
        <w:bottom w:val="none" w:sz="0" w:space="0" w:color="auto"/>
        <w:right w:val="none" w:sz="0" w:space="0" w:color="auto"/>
      </w:divBdr>
    </w:div>
    <w:div w:id="18243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kscore.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choolperformanc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assiv.d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assivehouse.us"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alks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1B8B-0165-4CC7-957D-F98FA68E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17019</Words>
  <Characters>97013</Characters>
  <Application>Microsoft Office Word</Application>
  <DocSecurity>4</DocSecurity>
  <Lines>808</Lines>
  <Paragraphs>227</Paragraphs>
  <ScaleCrop>false</ScaleCrop>
  <HeadingPairs>
    <vt:vector size="2" baseType="variant">
      <vt:variant>
        <vt:lpstr>Title</vt:lpstr>
      </vt:variant>
      <vt:variant>
        <vt:i4>1</vt:i4>
      </vt:variant>
    </vt:vector>
  </HeadingPairs>
  <TitlesOfParts>
    <vt:vector size="1" baseType="lpstr">
      <vt:lpstr>2005 Allocation Plan</vt:lpstr>
    </vt:vector>
  </TitlesOfParts>
  <Company>PA Housing Finance Agency</Company>
  <LinksUpToDate>false</LinksUpToDate>
  <CharactersWithSpaces>113805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Allocation Plan</dc:title>
  <dc:creator>phfa</dc:creator>
  <cp:lastModifiedBy>Lauren Anderson</cp:lastModifiedBy>
  <cp:revision>2</cp:revision>
  <cp:lastPrinted>2015-09-02T19:25:00Z</cp:lastPrinted>
  <dcterms:created xsi:type="dcterms:W3CDTF">2015-09-15T19:26:00Z</dcterms:created>
  <dcterms:modified xsi:type="dcterms:W3CDTF">2015-09-15T19:26:00Z</dcterms:modified>
</cp:coreProperties>
</file>