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06A" w:rsidRDefault="00C6506A" w:rsidP="0034395D">
      <w:pPr>
        <w:contextualSpacing/>
        <w:jc w:val="both"/>
      </w:pPr>
      <w:bookmarkStart w:id="0" w:name="_GoBack"/>
      <w:bookmarkEnd w:id="0"/>
    </w:p>
    <w:p w:rsidR="00A21E93" w:rsidRPr="00E91604" w:rsidRDefault="004B3F2C" w:rsidP="0034395D">
      <w:pPr>
        <w:contextualSpacing/>
        <w:jc w:val="both"/>
      </w:pPr>
      <w:r>
        <w:t>In anticipation of issuing a draft 2019 Low Income Housing Tax Credit Allocation Plan in the next few months, the Pennsylvania Housing Finance Agency is</w:t>
      </w:r>
      <w:r w:rsidR="00E97299" w:rsidRPr="00E91604">
        <w:t xml:space="preserve"> seeking input from our partners on </w:t>
      </w:r>
      <w:r w:rsidR="0036056D">
        <w:t xml:space="preserve">the affordable housing priorities and needs </w:t>
      </w:r>
      <w:r w:rsidR="003E646A">
        <w:t>throughout</w:t>
      </w:r>
      <w:r w:rsidR="0036056D">
        <w:t xml:space="preserve"> the Commonwealth</w:t>
      </w:r>
      <w:r w:rsidR="00E97299" w:rsidRPr="00E91604">
        <w:t xml:space="preserve">. </w:t>
      </w:r>
      <w:r>
        <w:t xml:space="preserve"> </w:t>
      </w:r>
      <w:r w:rsidR="003E646A">
        <w:t xml:space="preserve">Specifically, we are asking you to share your thoughts on the Allocation Plan preferences and set-asides, threshold and selection criteria and program administration.  We value your feedback as part of this </w:t>
      </w:r>
      <w:r w:rsidR="00E97299" w:rsidRPr="00E91604">
        <w:t xml:space="preserve">process and ask that you take a few minutes to complete the following survey.  </w:t>
      </w:r>
      <w:r w:rsidR="00E97299" w:rsidRPr="003E646A">
        <w:rPr>
          <w:b/>
          <w:sz w:val="28"/>
        </w:rPr>
        <w:t>U</w:t>
      </w:r>
      <w:r w:rsidR="00E97299" w:rsidRPr="00B05F29">
        <w:rPr>
          <w:b/>
        </w:rPr>
        <w:t>pon completion, please return the survey via email</w:t>
      </w:r>
      <w:r w:rsidR="00434D52">
        <w:rPr>
          <w:b/>
        </w:rPr>
        <w:t xml:space="preserve"> </w:t>
      </w:r>
      <w:r w:rsidR="00E97299" w:rsidRPr="00B05F29">
        <w:rPr>
          <w:b/>
        </w:rPr>
        <w:t xml:space="preserve">or </w:t>
      </w:r>
      <w:r w:rsidR="005E46F9">
        <w:rPr>
          <w:b/>
        </w:rPr>
        <w:t>mail</w:t>
      </w:r>
      <w:r w:rsidR="00E97299" w:rsidRPr="00B05F29">
        <w:rPr>
          <w:b/>
        </w:rPr>
        <w:t xml:space="preserve"> to </w:t>
      </w:r>
      <w:r>
        <w:rPr>
          <w:b/>
        </w:rPr>
        <w:t>Debbie Clark</w:t>
      </w:r>
      <w:r w:rsidR="005E46F9">
        <w:rPr>
          <w:b/>
        </w:rPr>
        <w:t xml:space="preserve"> </w:t>
      </w:r>
      <w:r w:rsidR="00E97299" w:rsidRPr="00B05F29">
        <w:rPr>
          <w:b/>
        </w:rPr>
        <w:t xml:space="preserve">(email: </w:t>
      </w:r>
      <w:r>
        <w:rPr>
          <w:b/>
        </w:rPr>
        <w:t>dclark</w:t>
      </w:r>
      <w:r w:rsidR="00E97299" w:rsidRPr="00B05F29">
        <w:rPr>
          <w:b/>
        </w:rPr>
        <w:t>@phfa.org; address P.O. Box 8029</w:t>
      </w:r>
      <w:r w:rsidR="00434D52">
        <w:rPr>
          <w:b/>
        </w:rPr>
        <w:t>, Harrisburg, PA 17105</w:t>
      </w:r>
      <w:r w:rsidR="00E97299" w:rsidRPr="00B05F29">
        <w:rPr>
          <w:b/>
        </w:rPr>
        <w:t xml:space="preserve">) by </w:t>
      </w:r>
      <w:r w:rsidR="000C3359">
        <w:rPr>
          <w:b/>
        </w:rPr>
        <w:t>February 23, 2018</w:t>
      </w:r>
      <w:r w:rsidR="00B05F29" w:rsidRPr="00B05F29">
        <w:rPr>
          <w:b/>
        </w:rPr>
        <w:t>.</w:t>
      </w:r>
      <w:r w:rsidR="00E97299" w:rsidRPr="00E91604">
        <w:t xml:space="preserve">  </w:t>
      </w:r>
    </w:p>
    <w:p w:rsidR="008A3248" w:rsidRDefault="008A3248" w:rsidP="0034395D">
      <w:pPr>
        <w:contextualSpacing/>
        <w:jc w:val="both"/>
        <w:rPr>
          <w:b/>
        </w:rPr>
      </w:pPr>
    </w:p>
    <w:p w:rsidR="00C6506A" w:rsidRDefault="00C6506A" w:rsidP="0034395D">
      <w:pPr>
        <w:contextualSpacing/>
        <w:jc w:val="both"/>
        <w:rPr>
          <w:b/>
        </w:rPr>
      </w:pPr>
    </w:p>
    <w:p w:rsidR="000A17C0" w:rsidRDefault="00C6506A" w:rsidP="0034395D">
      <w:pPr>
        <w:contextualSpacing/>
        <w:jc w:val="both"/>
        <w:rPr>
          <w:b/>
        </w:rPr>
      </w:pPr>
      <w:r>
        <w:rPr>
          <w:b/>
        </w:rPr>
        <w:t>Submission Requirements</w:t>
      </w:r>
    </w:p>
    <w:p w:rsidR="00C6506A" w:rsidRPr="00C6506A" w:rsidRDefault="00C6506A" w:rsidP="0034395D">
      <w:pPr>
        <w:contextualSpacing/>
        <w:jc w:val="both"/>
      </w:pPr>
    </w:p>
    <w:p w:rsidR="00223325" w:rsidRPr="00C6506A" w:rsidRDefault="00223325" w:rsidP="0034395D">
      <w:pPr>
        <w:contextualSpacing/>
        <w:jc w:val="both"/>
        <w:rPr>
          <w:u w:val="single"/>
        </w:rPr>
      </w:pPr>
      <w:r w:rsidRPr="00C6506A">
        <w:rPr>
          <w:u w:val="single"/>
        </w:rPr>
        <w:t>Development Team Capacity</w:t>
      </w:r>
    </w:p>
    <w:p w:rsidR="00223325" w:rsidRDefault="00223325" w:rsidP="0034395D">
      <w:pPr>
        <w:contextualSpacing/>
        <w:jc w:val="both"/>
        <w:rPr>
          <w:b/>
        </w:rPr>
      </w:pPr>
    </w:p>
    <w:p w:rsidR="007D396F" w:rsidRDefault="0036056D" w:rsidP="007D396F">
      <w:pPr>
        <w:numPr>
          <w:ilvl w:val="0"/>
          <w:numId w:val="16"/>
        </w:numPr>
        <w:ind w:left="360"/>
        <w:contextualSpacing/>
        <w:jc w:val="both"/>
      </w:pPr>
      <w:r>
        <w:t xml:space="preserve">The Agency expects applications for </w:t>
      </w:r>
      <w:r w:rsidR="003E646A">
        <w:t>Tax Credits to remain strong despite the impact of recent federal Tax Reform on th</w:t>
      </w:r>
      <w:r w:rsidR="009E77AE">
        <w:t xml:space="preserve">e affordable housing industry.  </w:t>
      </w:r>
      <w:r w:rsidR="00C6506A">
        <w:t xml:space="preserve">Over the last several years, we have seen an increase in applications from developers either new to Pennsylvania or new to </w:t>
      </w:r>
      <w:r w:rsidR="000C3359">
        <w:t>the Low Income Housing Tax Credit Program</w:t>
      </w:r>
      <w:r w:rsidR="00C6506A">
        <w:t>.  The Allocation Plan states that a</w:t>
      </w:r>
      <w:r w:rsidR="009E77AE">
        <w:t xml:space="preserve">pplicants must demonstrate Development Team experience sufficient to ensure financial capacity to complete the development and long term viability of the development. </w:t>
      </w:r>
      <w:r w:rsidR="005A2410">
        <w:t xml:space="preserve"> Inexperienced applicants may use an experience</w:t>
      </w:r>
      <w:r w:rsidR="00C6506A">
        <w:t>d</w:t>
      </w:r>
      <w:r w:rsidR="005A2410">
        <w:t xml:space="preserve"> housing consultant </w:t>
      </w:r>
      <w:r w:rsidR="00C6506A">
        <w:t>that will continue to provide serv</w:t>
      </w:r>
      <w:r w:rsidR="003A6BC9">
        <w:t>ic</w:t>
      </w:r>
      <w:r w:rsidR="00C6506A">
        <w:t xml:space="preserve">es through initial occupancy </w:t>
      </w:r>
      <w:r w:rsidR="005A2410">
        <w:t xml:space="preserve">to meet the requirements. </w:t>
      </w:r>
      <w:r w:rsidR="003511ED">
        <w:t xml:space="preserve"> </w:t>
      </w:r>
      <w:r w:rsidR="00C6506A">
        <w:t>Each year, a few developments face more than customary challenges and delays in meeting program criteria</w:t>
      </w:r>
      <w:r w:rsidR="000C3359">
        <w:t>,</w:t>
      </w:r>
      <w:r w:rsidR="00C6506A">
        <w:t xml:space="preserve"> </w:t>
      </w:r>
      <w:r w:rsidR="000C3359">
        <w:t xml:space="preserve">including initial ranking and underwriting assumptions, </w:t>
      </w:r>
      <w:r w:rsidR="00C6506A">
        <w:t xml:space="preserve">and deadlines, which we attribute to either </w:t>
      </w:r>
      <w:r w:rsidR="00434D52">
        <w:t>in</w:t>
      </w:r>
      <w:r w:rsidR="00C6506A">
        <w:t xml:space="preserve">experience or capacity issues.  </w:t>
      </w:r>
    </w:p>
    <w:p w:rsidR="00223325" w:rsidRDefault="00223325" w:rsidP="00223325">
      <w:pPr>
        <w:contextualSpacing/>
        <w:jc w:val="both"/>
      </w:pPr>
    </w:p>
    <w:p w:rsidR="00C6506A" w:rsidRDefault="00C6506A" w:rsidP="00223325">
      <w:pPr>
        <w:contextualSpacing/>
        <w:jc w:val="both"/>
      </w:pPr>
    </w:p>
    <w:p w:rsidR="00A87059" w:rsidRDefault="007D396F" w:rsidP="007D396F">
      <w:pPr>
        <w:pStyle w:val="ListParagraph"/>
        <w:numPr>
          <w:ilvl w:val="0"/>
          <w:numId w:val="21"/>
        </w:numPr>
        <w:contextualSpacing/>
        <w:jc w:val="both"/>
      </w:pPr>
      <w:r>
        <w:t xml:space="preserve">The Agency limits the number of applications an applicant </w:t>
      </w:r>
      <w:r w:rsidR="00434D52">
        <w:t>may</w:t>
      </w:r>
      <w:r>
        <w:t xml:space="preserve"> submit to six (6)</w:t>
      </w:r>
      <w:r w:rsidR="00C6506A">
        <w:t xml:space="preserve"> developments</w:t>
      </w:r>
      <w:r>
        <w:t xml:space="preserve">.  Should this be further limited?  Should similar </w:t>
      </w:r>
      <w:r w:rsidR="007A1EBF">
        <w:t xml:space="preserve">application </w:t>
      </w:r>
      <w:r>
        <w:t>limits be place</w:t>
      </w:r>
      <w:r w:rsidR="0015559B">
        <w:t>d</w:t>
      </w:r>
      <w:r>
        <w:t xml:space="preserve"> on other development team members including consultants, architects and contractors?</w:t>
      </w:r>
      <w:r w:rsidR="007A1EBF">
        <w:t xml:space="preserve"> Should similar award limits be imposed based on development capacity</w:t>
      </w:r>
      <w:r w:rsidR="00434D52">
        <w:t xml:space="preserve"> or other criteria</w:t>
      </w:r>
      <w:r w:rsidR="007A1EBF">
        <w:t>?</w:t>
      </w:r>
      <w:r w:rsidR="00434D52">
        <w:t xml:space="preserve">  Why or why not?  </w:t>
      </w:r>
    </w:p>
    <w:p w:rsidR="00223325" w:rsidRDefault="00223325" w:rsidP="00223325">
      <w:pPr>
        <w:contextualSpacing/>
        <w:jc w:val="both"/>
      </w:pPr>
    </w:p>
    <w:p w:rsidR="00223325" w:rsidRDefault="00223325" w:rsidP="00223325">
      <w:pPr>
        <w:contextualSpacing/>
        <w:jc w:val="both"/>
      </w:pPr>
    </w:p>
    <w:p w:rsidR="00C6506A" w:rsidRDefault="00C6506A" w:rsidP="00223325">
      <w:pPr>
        <w:contextualSpacing/>
        <w:jc w:val="both"/>
      </w:pPr>
    </w:p>
    <w:p w:rsidR="00223325" w:rsidRDefault="00223325" w:rsidP="00223325">
      <w:pPr>
        <w:contextualSpacing/>
        <w:jc w:val="both"/>
      </w:pPr>
    </w:p>
    <w:p w:rsidR="00223325" w:rsidRDefault="00223325" w:rsidP="00223325">
      <w:pPr>
        <w:contextualSpacing/>
        <w:jc w:val="both"/>
      </w:pPr>
    </w:p>
    <w:p w:rsidR="00223325" w:rsidRDefault="00223325" w:rsidP="00223325">
      <w:pPr>
        <w:pStyle w:val="ListParagraph"/>
        <w:numPr>
          <w:ilvl w:val="0"/>
          <w:numId w:val="21"/>
        </w:numPr>
        <w:contextualSpacing/>
        <w:jc w:val="both"/>
      </w:pPr>
      <w:r>
        <w:t xml:space="preserve">Previous Allocation Plans have awarded points in the Selection Criteria for development team experience based on the number of Tax Credit </w:t>
      </w:r>
      <w:r w:rsidR="00C6506A">
        <w:t xml:space="preserve">developments </w:t>
      </w:r>
      <w:r>
        <w:t>completed</w:t>
      </w:r>
      <w:r w:rsidR="000D779E">
        <w:t xml:space="preserve"> and placed in service </w:t>
      </w:r>
      <w:r w:rsidR="00253F1C">
        <w:t>by</w:t>
      </w:r>
      <w:r w:rsidR="000D779E">
        <w:t xml:space="preserve"> the original </w:t>
      </w:r>
      <w:r w:rsidR="00253F1C">
        <w:t xml:space="preserve">tax credit </w:t>
      </w:r>
      <w:r w:rsidR="000D779E">
        <w:t>award deadline</w:t>
      </w:r>
      <w:r>
        <w:t>.  Do you think this should be reinstated?  Should the Agency use other factors to determine both experience and current capacity?</w:t>
      </w:r>
      <w:r w:rsidR="00434D52">
        <w:t xml:space="preserve">  </w:t>
      </w:r>
    </w:p>
    <w:p w:rsidR="001D6C38" w:rsidRDefault="001D6C38" w:rsidP="001D6C38">
      <w:pPr>
        <w:pStyle w:val="ListParagraph"/>
        <w:contextualSpacing/>
        <w:jc w:val="both"/>
      </w:pPr>
    </w:p>
    <w:p w:rsidR="001D6C38" w:rsidRDefault="001D6C38" w:rsidP="001D6C38">
      <w:pPr>
        <w:pStyle w:val="ListParagraph"/>
        <w:contextualSpacing/>
        <w:jc w:val="both"/>
      </w:pPr>
    </w:p>
    <w:p w:rsidR="001D6C38" w:rsidRDefault="001D6C38" w:rsidP="001D6C38">
      <w:pPr>
        <w:pStyle w:val="ListParagraph"/>
        <w:contextualSpacing/>
        <w:jc w:val="both"/>
      </w:pPr>
    </w:p>
    <w:p w:rsidR="007D396F" w:rsidRDefault="007D396F" w:rsidP="007D396F">
      <w:pPr>
        <w:pStyle w:val="ListParagraph"/>
        <w:numPr>
          <w:ilvl w:val="0"/>
          <w:numId w:val="21"/>
        </w:numPr>
        <w:contextualSpacing/>
        <w:jc w:val="both"/>
      </w:pPr>
      <w:r>
        <w:lastRenderedPageBreak/>
        <w:t xml:space="preserve">The 2017/2018 Allocation Plan provides the Agency with the discretion to reject an application from an applicant that is delinquent, has materially defaulted or has misrepresented material information on a previous application.  </w:t>
      </w:r>
      <w:r w:rsidR="00223325">
        <w:t xml:space="preserve">We have received applications from developments that are delinquent in funding obligations, </w:t>
      </w:r>
      <w:r w:rsidR="00253F1C">
        <w:t xml:space="preserve">have </w:t>
      </w:r>
      <w:r w:rsidR="00223325">
        <w:t xml:space="preserve">unresolved issues or have significant noncompliance or negative ranking issues.  </w:t>
      </w:r>
      <w:r>
        <w:t>Should the Agency provide, in advance of a funding round</w:t>
      </w:r>
      <w:r w:rsidR="00C6506A">
        <w:t xml:space="preserve"> or upon receipt of the Intent to Submit</w:t>
      </w:r>
      <w:r>
        <w:t xml:space="preserve">, an applicant with notice that </w:t>
      </w:r>
      <w:r w:rsidR="001D6C38">
        <w:t>futu</w:t>
      </w:r>
      <w:r w:rsidR="00C6506A">
        <w:t>re applications may be returned?</w:t>
      </w:r>
      <w:r w:rsidR="001D6C38">
        <w:t xml:space="preserve">  </w:t>
      </w:r>
      <w:r w:rsidR="00C6506A">
        <w:t xml:space="preserve"> Should the Agency have a limited appeal/cure period applicable to such notices?</w:t>
      </w:r>
    </w:p>
    <w:p w:rsidR="00AE59CB" w:rsidRDefault="00AE59CB" w:rsidP="0034395D">
      <w:pPr>
        <w:contextualSpacing/>
        <w:jc w:val="both"/>
      </w:pPr>
    </w:p>
    <w:p w:rsidR="00C6506A" w:rsidRDefault="00C6506A" w:rsidP="0034395D">
      <w:pPr>
        <w:contextualSpacing/>
        <w:jc w:val="both"/>
      </w:pPr>
    </w:p>
    <w:p w:rsidR="00C6506A" w:rsidRDefault="00C6506A" w:rsidP="0034395D">
      <w:pPr>
        <w:contextualSpacing/>
        <w:jc w:val="both"/>
      </w:pPr>
    </w:p>
    <w:p w:rsidR="00C6506A" w:rsidRDefault="00C6506A" w:rsidP="0034395D">
      <w:pPr>
        <w:contextualSpacing/>
        <w:jc w:val="both"/>
      </w:pPr>
    </w:p>
    <w:p w:rsidR="00C6506A" w:rsidRPr="00C6506A" w:rsidRDefault="00C6506A" w:rsidP="005A2A7B">
      <w:pPr>
        <w:ind w:left="360" w:hanging="360"/>
        <w:contextualSpacing/>
        <w:jc w:val="both"/>
        <w:rPr>
          <w:u w:val="single"/>
        </w:rPr>
      </w:pPr>
      <w:r w:rsidRPr="00C6506A">
        <w:rPr>
          <w:u w:val="single"/>
        </w:rPr>
        <w:t>Compliance Period</w:t>
      </w:r>
    </w:p>
    <w:p w:rsidR="00C6506A" w:rsidRDefault="00C6506A" w:rsidP="005A2A7B">
      <w:pPr>
        <w:ind w:left="360" w:hanging="360"/>
        <w:contextualSpacing/>
        <w:jc w:val="both"/>
      </w:pPr>
    </w:p>
    <w:p w:rsidR="00FC6F08" w:rsidRDefault="000A17C0" w:rsidP="005A2A7B">
      <w:pPr>
        <w:ind w:left="360" w:hanging="360"/>
        <w:contextualSpacing/>
        <w:jc w:val="both"/>
      </w:pPr>
      <w:r>
        <w:t>2.</w:t>
      </w:r>
      <w:r>
        <w:tab/>
      </w:r>
      <w:r w:rsidR="001D6C38">
        <w:t xml:space="preserve">The Agency extended the compliance period to 35 years for developments seeking 2018 Tax Credits.  The Agency is interested in your views as to the impact of the additional </w:t>
      </w:r>
      <w:r w:rsidR="00253F1C">
        <w:t>five</w:t>
      </w:r>
      <w:r w:rsidR="001D6C38">
        <w:t xml:space="preserve"> years of affordability.</w:t>
      </w:r>
    </w:p>
    <w:p w:rsidR="00824D97" w:rsidRDefault="00824D97" w:rsidP="00BD285D">
      <w:pPr>
        <w:ind w:left="360"/>
        <w:contextualSpacing/>
        <w:jc w:val="both"/>
      </w:pPr>
    </w:p>
    <w:p w:rsidR="00C6506A" w:rsidRDefault="00C6506A" w:rsidP="00BD285D">
      <w:pPr>
        <w:ind w:left="360"/>
        <w:contextualSpacing/>
        <w:jc w:val="both"/>
      </w:pPr>
    </w:p>
    <w:p w:rsidR="00C947FB" w:rsidRDefault="00C947FB" w:rsidP="00BD285D">
      <w:pPr>
        <w:ind w:left="360"/>
        <w:contextualSpacing/>
        <w:jc w:val="both"/>
      </w:pPr>
    </w:p>
    <w:p w:rsidR="00AE59CB" w:rsidRPr="00E91604" w:rsidRDefault="00AE59CB" w:rsidP="00BD285D">
      <w:pPr>
        <w:ind w:left="360"/>
        <w:contextualSpacing/>
        <w:jc w:val="both"/>
      </w:pPr>
    </w:p>
    <w:p w:rsidR="00DD67C0" w:rsidRDefault="00DD67C0" w:rsidP="0034395D">
      <w:pPr>
        <w:contextualSpacing/>
        <w:jc w:val="both"/>
        <w:rPr>
          <w:b/>
        </w:rPr>
      </w:pPr>
      <w:r>
        <w:rPr>
          <w:b/>
        </w:rPr>
        <w:t>Set-Asides, Pools and Preferences</w:t>
      </w:r>
    </w:p>
    <w:p w:rsidR="00DD67C0" w:rsidRDefault="00DD67C0" w:rsidP="0034395D">
      <w:pPr>
        <w:contextualSpacing/>
        <w:jc w:val="both"/>
        <w:rPr>
          <w:b/>
        </w:rPr>
      </w:pPr>
    </w:p>
    <w:p w:rsidR="00DD67C0" w:rsidRDefault="00985A2D" w:rsidP="00765C58">
      <w:pPr>
        <w:tabs>
          <w:tab w:val="left" w:pos="360"/>
        </w:tabs>
        <w:ind w:left="360" w:hanging="540"/>
        <w:contextualSpacing/>
        <w:jc w:val="both"/>
      </w:pPr>
      <w:r>
        <w:t>3.</w:t>
      </w:r>
      <w:r>
        <w:tab/>
      </w:r>
      <w:r w:rsidR="00DD67C0">
        <w:t xml:space="preserve">In 2013, the Agency changed its methodology in which it allocated Tax Credits between Urban and Suburban/Rural Pools among a number of preferences including general, senior 62 and above with services, preservation, supportive housing, community revitalization, areas of opportunity, strategic investment and innovation in design.  </w:t>
      </w:r>
    </w:p>
    <w:p w:rsidR="00DD67C0" w:rsidRDefault="00DD67C0" w:rsidP="00765C58">
      <w:pPr>
        <w:ind w:left="360"/>
        <w:contextualSpacing/>
        <w:jc w:val="both"/>
      </w:pPr>
    </w:p>
    <w:p w:rsidR="00DD67C0" w:rsidRDefault="00DD67C0" w:rsidP="00765C58">
      <w:pPr>
        <w:tabs>
          <w:tab w:val="left" w:pos="450"/>
        </w:tabs>
        <w:ind w:left="360"/>
        <w:contextualSpacing/>
        <w:jc w:val="both"/>
      </w:pPr>
      <w:r>
        <w:t>Should the criteria identified for consideration in these preferences be revised? If so,</w:t>
      </w:r>
      <w:r w:rsidR="00253F1C">
        <w:t xml:space="preserve"> </w:t>
      </w:r>
      <w:r>
        <w:t>how?  Are there other preferences we should consider?</w:t>
      </w:r>
    </w:p>
    <w:p w:rsidR="00DD67C0" w:rsidRPr="00DD67C0" w:rsidRDefault="00DD67C0" w:rsidP="0034395D">
      <w:pPr>
        <w:contextualSpacing/>
        <w:jc w:val="both"/>
      </w:pPr>
    </w:p>
    <w:p w:rsidR="00DD67C0" w:rsidRDefault="00DD67C0" w:rsidP="0034395D">
      <w:pPr>
        <w:contextualSpacing/>
        <w:jc w:val="both"/>
        <w:rPr>
          <w:b/>
        </w:rPr>
      </w:pPr>
    </w:p>
    <w:p w:rsidR="00C6506A" w:rsidRDefault="00C6506A" w:rsidP="0034395D">
      <w:pPr>
        <w:contextualSpacing/>
        <w:jc w:val="both"/>
        <w:rPr>
          <w:b/>
        </w:rPr>
      </w:pPr>
    </w:p>
    <w:p w:rsidR="00DD67C0" w:rsidRDefault="00DD67C0" w:rsidP="00AE59CB">
      <w:pPr>
        <w:tabs>
          <w:tab w:val="left" w:pos="360"/>
          <w:tab w:val="left" w:pos="540"/>
        </w:tabs>
        <w:contextualSpacing/>
        <w:jc w:val="both"/>
      </w:pPr>
    </w:p>
    <w:p w:rsidR="00AE59CB" w:rsidRDefault="00AE59CB" w:rsidP="00AE59CB">
      <w:pPr>
        <w:tabs>
          <w:tab w:val="left" w:pos="360"/>
          <w:tab w:val="left" w:pos="540"/>
        </w:tabs>
        <w:contextualSpacing/>
        <w:jc w:val="both"/>
      </w:pPr>
      <w:r>
        <w:tab/>
      </w:r>
    </w:p>
    <w:p w:rsidR="00FC6F08" w:rsidRDefault="00824D97" w:rsidP="0034395D">
      <w:pPr>
        <w:contextualSpacing/>
        <w:jc w:val="both"/>
        <w:rPr>
          <w:b/>
        </w:rPr>
      </w:pPr>
      <w:r>
        <w:rPr>
          <w:b/>
        </w:rPr>
        <w:t xml:space="preserve">Threshold Criteria </w:t>
      </w:r>
    </w:p>
    <w:p w:rsidR="00824D97" w:rsidRPr="00E91604" w:rsidRDefault="00824D97" w:rsidP="0034395D">
      <w:pPr>
        <w:contextualSpacing/>
        <w:jc w:val="both"/>
      </w:pPr>
    </w:p>
    <w:p w:rsidR="008A3248" w:rsidRDefault="008A3248" w:rsidP="00985A2D">
      <w:pPr>
        <w:pStyle w:val="ListParagraph"/>
        <w:numPr>
          <w:ilvl w:val="0"/>
          <w:numId w:val="24"/>
        </w:numPr>
        <w:ind w:left="360"/>
        <w:contextualSpacing/>
        <w:jc w:val="both"/>
      </w:pPr>
      <w:r>
        <w:t xml:space="preserve">The Agency added Broadband Infrastructure and Smoke-Free Developments as </w:t>
      </w:r>
      <w:proofErr w:type="gramStart"/>
      <w:r>
        <w:t xml:space="preserve">a </w:t>
      </w:r>
      <w:r w:rsidR="00D612A4">
        <w:t>t</w:t>
      </w:r>
      <w:r>
        <w:t xml:space="preserve">hreshold </w:t>
      </w:r>
      <w:r w:rsidR="00D612A4">
        <w:t>c</w:t>
      </w:r>
      <w:r>
        <w:t>riteria</w:t>
      </w:r>
      <w:proofErr w:type="gramEnd"/>
      <w:r>
        <w:t xml:space="preserve"> in the 201</w:t>
      </w:r>
      <w:r w:rsidR="00CC0DAE">
        <w:t>7</w:t>
      </w:r>
      <w:r>
        <w:t>/2018 Allocation Plan.  Do you have any comments about their inclusion</w:t>
      </w:r>
      <w:r w:rsidR="00CC0DAE">
        <w:t xml:space="preserve"> and implementation in developments</w:t>
      </w:r>
      <w:r>
        <w:t>?</w:t>
      </w:r>
    </w:p>
    <w:p w:rsidR="008A3248" w:rsidRDefault="008A3248" w:rsidP="008A3248">
      <w:pPr>
        <w:ind w:left="540" w:hanging="540"/>
        <w:contextualSpacing/>
        <w:jc w:val="both"/>
      </w:pPr>
    </w:p>
    <w:p w:rsidR="008A3248" w:rsidRDefault="008A3248" w:rsidP="008A3248">
      <w:pPr>
        <w:ind w:left="540" w:hanging="540"/>
        <w:contextualSpacing/>
        <w:jc w:val="both"/>
      </w:pPr>
    </w:p>
    <w:p w:rsidR="008A3248" w:rsidRDefault="008A3248" w:rsidP="008A3248">
      <w:pPr>
        <w:ind w:left="540" w:hanging="540"/>
        <w:contextualSpacing/>
        <w:jc w:val="both"/>
      </w:pPr>
    </w:p>
    <w:p w:rsidR="00C6506A" w:rsidRDefault="00C6506A">
      <w:r>
        <w:br w:type="page"/>
      </w:r>
    </w:p>
    <w:p w:rsidR="00B349A6" w:rsidRDefault="001F22F3" w:rsidP="00985A2D">
      <w:pPr>
        <w:pStyle w:val="ListParagraph"/>
        <w:numPr>
          <w:ilvl w:val="0"/>
          <w:numId w:val="25"/>
        </w:numPr>
        <w:ind w:left="360"/>
        <w:contextualSpacing/>
        <w:jc w:val="both"/>
        <w:rPr>
          <w:u w:color="FF0000"/>
        </w:rPr>
      </w:pPr>
      <w:r w:rsidRPr="00985A2D">
        <w:rPr>
          <w:u w:color="FF0000"/>
        </w:rPr>
        <w:lastRenderedPageBreak/>
        <w:t xml:space="preserve">The Agency believes a certain level of supportive services should be provided to all residents.  </w:t>
      </w:r>
      <w:r w:rsidR="00FE2477">
        <w:rPr>
          <w:u w:color="FF0000"/>
        </w:rPr>
        <w:t xml:space="preserve">Developments that meet PHFA’s </w:t>
      </w:r>
      <w:r w:rsidRPr="00985A2D">
        <w:rPr>
          <w:u w:color="FF0000"/>
        </w:rPr>
        <w:t xml:space="preserve">minimum requirements </w:t>
      </w:r>
      <w:r w:rsidR="00FE2477">
        <w:rPr>
          <w:u w:color="FF0000"/>
        </w:rPr>
        <w:t xml:space="preserve">established </w:t>
      </w:r>
      <w:r w:rsidRPr="00985A2D">
        <w:rPr>
          <w:u w:color="FF0000"/>
        </w:rPr>
        <w:t xml:space="preserve">in the </w:t>
      </w:r>
      <w:r w:rsidR="00D612A4">
        <w:rPr>
          <w:u w:color="FF0000"/>
        </w:rPr>
        <w:t>s</w:t>
      </w:r>
      <w:r w:rsidRPr="00985A2D">
        <w:rPr>
          <w:u w:color="FF0000"/>
        </w:rPr>
        <w:t xml:space="preserve">election </w:t>
      </w:r>
      <w:r w:rsidR="00D612A4">
        <w:rPr>
          <w:u w:color="FF0000"/>
        </w:rPr>
        <w:t>c</w:t>
      </w:r>
      <w:r w:rsidRPr="00985A2D">
        <w:rPr>
          <w:u w:color="FF0000"/>
        </w:rPr>
        <w:t xml:space="preserve">riteria </w:t>
      </w:r>
      <w:r w:rsidR="00FE2477">
        <w:rPr>
          <w:u w:color="FF0000"/>
        </w:rPr>
        <w:t>may receive ranking points</w:t>
      </w:r>
      <w:r w:rsidR="002E7630">
        <w:rPr>
          <w:u w:color="FF0000"/>
        </w:rPr>
        <w:t xml:space="preserve"> for supportive services</w:t>
      </w:r>
      <w:r w:rsidR="00FE2477">
        <w:rPr>
          <w:u w:color="FF0000"/>
        </w:rPr>
        <w:t xml:space="preserve"> in the 2017/2018 Allocation </w:t>
      </w:r>
      <w:r w:rsidRPr="00985A2D">
        <w:rPr>
          <w:u w:color="FF0000"/>
        </w:rPr>
        <w:t xml:space="preserve">Plan.  </w:t>
      </w:r>
      <w:r w:rsidR="00FE2477">
        <w:rPr>
          <w:u w:color="FF0000"/>
        </w:rPr>
        <w:t xml:space="preserve">For 2019, we are considering making a minimum level of supportive services </w:t>
      </w:r>
      <w:proofErr w:type="gramStart"/>
      <w:r w:rsidR="00FE2477">
        <w:rPr>
          <w:u w:color="FF0000"/>
        </w:rPr>
        <w:t xml:space="preserve">a </w:t>
      </w:r>
      <w:r w:rsidR="00D612A4">
        <w:rPr>
          <w:u w:color="FF0000"/>
        </w:rPr>
        <w:t>t</w:t>
      </w:r>
      <w:r w:rsidR="00FE2477">
        <w:rPr>
          <w:u w:color="FF0000"/>
        </w:rPr>
        <w:t xml:space="preserve">hreshold </w:t>
      </w:r>
      <w:r w:rsidR="00D612A4">
        <w:rPr>
          <w:u w:color="FF0000"/>
        </w:rPr>
        <w:t>c</w:t>
      </w:r>
      <w:r w:rsidR="00FE2477">
        <w:rPr>
          <w:u w:color="FF0000"/>
        </w:rPr>
        <w:t>riteria</w:t>
      </w:r>
      <w:proofErr w:type="gramEnd"/>
      <w:r w:rsidR="007A1EBF">
        <w:rPr>
          <w:u w:color="FF0000"/>
        </w:rPr>
        <w:t>.</w:t>
      </w:r>
      <w:r w:rsidR="00FE2477">
        <w:rPr>
          <w:u w:color="FF0000"/>
        </w:rPr>
        <w:t xml:space="preserve">  </w:t>
      </w:r>
    </w:p>
    <w:p w:rsidR="00B349A6" w:rsidRDefault="00B349A6" w:rsidP="00B349A6">
      <w:pPr>
        <w:pStyle w:val="ListParagraph"/>
        <w:ind w:left="360"/>
        <w:contextualSpacing/>
        <w:jc w:val="both"/>
        <w:rPr>
          <w:u w:color="FF0000"/>
        </w:rPr>
      </w:pPr>
    </w:p>
    <w:p w:rsidR="001F22F3" w:rsidRDefault="00FE2477" w:rsidP="00B349A6">
      <w:pPr>
        <w:pStyle w:val="ListParagraph"/>
        <w:numPr>
          <w:ilvl w:val="1"/>
          <w:numId w:val="25"/>
        </w:numPr>
        <w:ind w:left="720"/>
        <w:contextualSpacing/>
        <w:jc w:val="both"/>
        <w:rPr>
          <w:u w:color="FF0000"/>
        </w:rPr>
      </w:pPr>
      <w:r>
        <w:rPr>
          <w:u w:color="FF0000"/>
        </w:rPr>
        <w:t>Should the requirements identified in the 2017/2018 Selection Criteria be</w:t>
      </w:r>
      <w:r w:rsidR="001F22F3" w:rsidRPr="00985A2D">
        <w:rPr>
          <w:u w:color="FF0000"/>
        </w:rPr>
        <w:t xml:space="preserve"> </w:t>
      </w:r>
      <w:r>
        <w:rPr>
          <w:u w:color="FF0000"/>
        </w:rPr>
        <w:t>considered as the minimum in the</w:t>
      </w:r>
      <w:r w:rsidR="001F22F3" w:rsidRPr="00985A2D">
        <w:rPr>
          <w:u w:color="FF0000"/>
        </w:rPr>
        <w:t xml:space="preserve"> </w:t>
      </w:r>
      <w:r w:rsidR="00D612A4">
        <w:rPr>
          <w:u w:color="FF0000"/>
        </w:rPr>
        <w:t>t</w:t>
      </w:r>
      <w:r w:rsidR="001F22F3" w:rsidRPr="00985A2D">
        <w:rPr>
          <w:u w:color="FF0000"/>
        </w:rPr>
        <w:t xml:space="preserve">hreshold </w:t>
      </w:r>
      <w:r w:rsidR="00D612A4">
        <w:rPr>
          <w:u w:color="FF0000"/>
        </w:rPr>
        <w:t>c</w:t>
      </w:r>
      <w:r w:rsidR="001F22F3" w:rsidRPr="00985A2D">
        <w:rPr>
          <w:u w:color="FF0000"/>
        </w:rPr>
        <w:t xml:space="preserve">riteria? </w:t>
      </w:r>
      <w:r w:rsidR="007A1EBF">
        <w:rPr>
          <w:u w:color="FF0000"/>
        </w:rPr>
        <w:t xml:space="preserve"> If so, should the Agency make available additional point</w:t>
      </w:r>
      <w:r w:rsidR="00E91101">
        <w:rPr>
          <w:u w:color="FF0000"/>
        </w:rPr>
        <w:t xml:space="preserve">s available for services above </w:t>
      </w:r>
      <w:r w:rsidR="00D612A4">
        <w:rPr>
          <w:u w:color="FF0000"/>
        </w:rPr>
        <w:t>t</w:t>
      </w:r>
      <w:r w:rsidR="007A1EBF">
        <w:rPr>
          <w:u w:color="FF0000"/>
        </w:rPr>
        <w:t xml:space="preserve">hreshold? </w:t>
      </w:r>
      <w:r w:rsidR="001F22F3" w:rsidRPr="00985A2D">
        <w:rPr>
          <w:u w:color="FF0000"/>
        </w:rPr>
        <w:t xml:space="preserve"> Are there other su</w:t>
      </w:r>
      <w:r w:rsidR="00CC0DAE" w:rsidRPr="00985A2D">
        <w:rPr>
          <w:u w:color="FF0000"/>
        </w:rPr>
        <w:t xml:space="preserve">ggestions or best practices for </w:t>
      </w:r>
      <w:r w:rsidR="001F22F3" w:rsidRPr="00985A2D">
        <w:rPr>
          <w:u w:color="FF0000"/>
        </w:rPr>
        <w:t>level of services</w:t>
      </w:r>
      <w:r w:rsidR="002E7630">
        <w:rPr>
          <w:u w:color="FF0000"/>
        </w:rPr>
        <w:t xml:space="preserve"> to be provide</w:t>
      </w:r>
      <w:r w:rsidR="00434D52">
        <w:rPr>
          <w:u w:color="FF0000"/>
        </w:rPr>
        <w:t>d</w:t>
      </w:r>
      <w:r w:rsidR="002E7630">
        <w:rPr>
          <w:u w:color="FF0000"/>
        </w:rPr>
        <w:t xml:space="preserve"> to residents</w:t>
      </w:r>
      <w:r w:rsidR="001F22F3" w:rsidRPr="00985A2D">
        <w:rPr>
          <w:u w:color="FF0000"/>
        </w:rPr>
        <w:t xml:space="preserve">? </w:t>
      </w:r>
    </w:p>
    <w:p w:rsidR="00B349A6" w:rsidRDefault="00B349A6" w:rsidP="00B349A6">
      <w:pPr>
        <w:pStyle w:val="ListParagraph"/>
        <w:contextualSpacing/>
        <w:jc w:val="both"/>
        <w:rPr>
          <w:u w:color="FF0000"/>
        </w:rPr>
      </w:pPr>
    </w:p>
    <w:p w:rsidR="00B349A6" w:rsidRDefault="00B349A6" w:rsidP="00B349A6">
      <w:pPr>
        <w:pStyle w:val="ListParagraph"/>
        <w:contextualSpacing/>
        <w:jc w:val="both"/>
        <w:rPr>
          <w:u w:color="FF0000"/>
        </w:rPr>
      </w:pPr>
    </w:p>
    <w:p w:rsidR="00B349A6" w:rsidRDefault="00B349A6" w:rsidP="00B349A6">
      <w:pPr>
        <w:pStyle w:val="ListParagraph"/>
        <w:contextualSpacing/>
        <w:jc w:val="both"/>
        <w:rPr>
          <w:u w:color="FF0000"/>
        </w:rPr>
      </w:pPr>
    </w:p>
    <w:p w:rsidR="00B349A6" w:rsidRDefault="00B349A6" w:rsidP="00B349A6">
      <w:pPr>
        <w:pStyle w:val="ListParagraph"/>
        <w:contextualSpacing/>
        <w:jc w:val="both"/>
        <w:rPr>
          <w:u w:color="FF0000"/>
        </w:rPr>
      </w:pPr>
    </w:p>
    <w:p w:rsidR="00B349A6" w:rsidRDefault="00B349A6" w:rsidP="00B349A6">
      <w:pPr>
        <w:pStyle w:val="ListParagraph"/>
        <w:numPr>
          <w:ilvl w:val="1"/>
          <w:numId w:val="25"/>
        </w:numPr>
        <w:ind w:left="720"/>
        <w:contextualSpacing/>
        <w:jc w:val="both"/>
        <w:rPr>
          <w:u w:color="FF0000"/>
        </w:rPr>
      </w:pPr>
      <w:r>
        <w:rPr>
          <w:u w:color="FF0000"/>
        </w:rPr>
        <w:t>How can PHFA work with you to guarantee at least 15 years of services funding?</w:t>
      </w:r>
      <w:r w:rsidRPr="00B349A6">
        <w:rPr>
          <w:u w:color="FF0000"/>
        </w:rPr>
        <w:t xml:space="preserve"> </w:t>
      </w:r>
      <w:r>
        <w:rPr>
          <w:u w:color="FF0000"/>
        </w:rPr>
        <w:t>Is the one hour per five units per week for 15 years still a good minimum for require</w:t>
      </w:r>
      <w:r w:rsidR="00434D52">
        <w:rPr>
          <w:u w:color="FF0000"/>
        </w:rPr>
        <w:t>d</w:t>
      </w:r>
      <w:r>
        <w:rPr>
          <w:u w:color="FF0000"/>
        </w:rPr>
        <w:t xml:space="preserve"> on-site services?</w:t>
      </w:r>
    </w:p>
    <w:p w:rsidR="00B349A6" w:rsidRDefault="00B349A6" w:rsidP="00B349A6">
      <w:pPr>
        <w:pStyle w:val="ListParagraph"/>
        <w:contextualSpacing/>
        <w:jc w:val="both"/>
        <w:rPr>
          <w:u w:color="FF0000"/>
        </w:rPr>
      </w:pPr>
    </w:p>
    <w:p w:rsidR="00B349A6" w:rsidRDefault="00B349A6" w:rsidP="00B349A6">
      <w:pPr>
        <w:pStyle w:val="ListParagraph"/>
        <w:rPr>
          <w:u w:color="FF0000"/>
        </w:rPr>
      </w:pPr>
    </w:p>
    <w:p w:rsidR="00B349A6" w:rsidRDefault="00B349A6" w:rsidP="00B349A6">
      <w:pPr>
        <w:pStyle w:val="ListParagraph"/>
        <w:rPr>
          <w:u w:color="FF0000"/>
        </w:rPr>
      </w:pPr>
    </w:p>
    <w:p w:rsidR="00B349A6" w:rsidRPr="00B349A6" w:rsidRDefault="00B349A6" w:rsidP="00B349A6">
      <w:pPr>
        <w:pStyle w:val="ListParagraph"/>
        <w:rPr>
          <w:u w:color="FF0000"/>
        </w:rPr>
      </w:pPr>
    </w:p>
    <w:p w:rsidR="00B349A6" w:rsidRDefault="00B349A6" w:rsidP="00B349A6">
      <w:pPr>
        <w:pStyle w:val="ListParagraph"/>
        <w:numPr>
          <w:ilvl w:val="1"/>
          <w:numId w:val="25"/>
        </w:numPr>
        <w:ind w:left="720"/>
        <w:contextualSpacing/>
        <w:jc w:val="both"/>
        <w:rPr>
          <w:u w:color="FF0000"/>
        </w:rPr>
      </w:pPr>
      <w:r>
        <w:rPr>
          <w:u w:color="FF0000"/>
        </w:rPr>
        <w:t>Are the 62+ with Services preference requirements sufficient?  Do you have suggestions for expansion of this preference?</w:t>
      </w:r>
    </w:p>
    <w:p w:rsidR="00B349A6" w:rsidRPr="00B349A6" w:rsidRDefault="00B349A6" w:rsidP="00B349A6">
      <w:pPr>
        <w:pStyle w:val="ListParagraph"/>
        <w:rPr>
          <w:u w:color="FF0000"/>
        </w:rPr>
      </w:pPr>
    </w:p>
    <w:p w:rsidR="001F22F3" w:rsidRDefault="001F22F3" w:rsidP="008A3248">
      <w:pPr>
        <w:pStyle w:val="Header"/>
        <w:widowControl w:val="0"/>
        <w:tabs>
          <w:tab w:val="clear" w:pos="4320"/>
          <w:tab w:val="clear" w:pos="8640"/>
          <w:tab w:val="num" w:pos="900"/>
        </w:tabs>
        <w:adjustRightInd w:val="0"/>
        <w:ind w:left="540" w:hanging="540"/>
        <w:contextualSpacing/>
        <w:jc w:val="both"/>
        <w:textAlignment w:val="baseline"/>
        <w:rPr>
          <w:u w:color="FF0000"/>
        </w:rPr>
      </w:pPr>
    </w:p>
    <w:p w:rsidR="00B349A6" w:rsidRDefault="00B349A6" w:rsidP="008A3248">
      <w:pPr>
        <w:pStyle w:val="Header"/>
        <w:widowControl w:val="0"/>
        <w:tabs>
          <w:tab w:val="clear" w:pos="4320"/>
          <w:tab w:val="clear" w:pos="8640"/>
          <w:tab w:val="num" w:pos="900"/>
        </w:tabs>
        <w:adjustRightInd w:val="0"/>
        <w:ind w:left="540" w:hanging="540"/>
        <w:contextualSpacing/>
        <w:jc w:val="both"/>
        <w:textAlignment w:val="baseline"/>
        <w:rPr>
          <w:u w:color="FF0000"/>
        </w:rPr>
      </w:pPr>
    </w:p>
    <w:p w:rsidR="002E7630" w:rsidRDefault="002E7630" w:rsidP="0034395D">
      <w:pPr>
        <w:pStyle w:val="Header"/>
        <w:widowControl w:val="0"/>
        <w:tabs>
          <w:tab w:val="clear" w:pos="4320"/>
          <w:tab w:val="clear" w:pos="8640"/>
          <w:tab w:val="num" w:pos="900"/>
        </w:tabs>
        <w:adjustRightInd w:val="0"/>
        <w:contextualSpacing/>
        <w:jc w:val="both"/>
        <w:textAlignment w:val="baseline"/>
        <w:rPr>
          <w:u w:color="FF0000"/>
        </w:rPr>
      </w:pPr>
    </w:p>
    <w:p w:rsidR="00FC6F08" w:rsidRPr="00E91604" w:rsidRDefault="00421E3B" w:rsidP="0034395D">
      <w:pPr>
        <w:contextualSpacing/>
        <w:jc w:val="both"/>
        <w:rPr>
          <w:b/>
        </w:rPr>
      </w:pPr>
      <w:r>
        <w:rPr>
          <w:b/>
        </w:rPr>
        <w:t>Selection Criteria</w:t>
      </w:r>
    </w:p>
    <w:p w:rsidR="001E260C" w:rsidRDefault="001E260C" w:rsidP="001E260C">
      <w:pPr>
        <w:contextualSpacing/>
        <w:jc w:val="both"/>
      </w:pPr>
    </w:p>
    <w:p w:rsidR="00646FDA" w:rsidRPr="000D779E" w:rsidRDefault="00513BBB" w:rsidP="00990509">
      <w:pPr>
        <w:pStyle w:val="ListParagraph"/>
        <w:numPr>
          <w:ilvl w:val="0"/>
          <w:numId w:val="25"/>
        </w:numPr>
        <w:ind w:left="360"/>
        <w:contextualSpacing/>
        <w:jc w:val="both"/>
        <w:rPr>
          <w:u w:val="single"/>
        </w:rPr>
      </w:pPr>
      <w:r w:rsidRPr="000D779E">
        <w:rPr>
          <w:u w:val="single"/>
        </w:rPr>
        <w:t xml:space="preserve">Development Characteristics </w:t>
      </w:r>
    </w:p>
    <w:p w:rsidR="00646FDA" w:rsidRDefault="00646FDA" w:rsidP="00646FDA">
      <w:pPr>
        <w:pStyle w:val="ListParagraph"/>
        <w:ind w:left="360"/>
        <w:contextualSpacing/>
        <w:jc w:val="both"/>
      </w:pPr>
    </w:p>
    <w:p w:rsidR="00513BBB" w:rsidRDefault="00513BBB" w:rsidP="00513BBB">
      <w:pPr>
        <w:pStyle w:val="ListParagraph"/>
        <w:numPr>
          <w:ilvl w:val="1"/>
          <w:numId w:val="25"/>
        </w:numPr>
        <w:ind w:left="720"/>
        <w:contextualSpacing/>
        <w:jc w:val="both"/>
      </w:pPr>
      <w:r>
        <w:t>For 2017/2018, the Agency expanded it</w:t>
      </w:r>
      <w:r w:rsidR="002E7630">
        <w:t>s</w:t>
      </w:r>
      <w:r>
        <w:t xml:space="preserve"> Green Building Criteria </w:t>
      </w:r>
      <w:r w:rsidR="002E7630">
        <w:t>by accepting</w:t>
      </w:r>
      <w:r>
        <w:t xml:space="preserve"> Enterprise Green Communities, LEED or National Green Build Standards certifications</w:t>
      </w:r>
      <w:r w:rsidR="002E7630">
        <w:t xml:space="preserve"> for ranking consideration</w:t>
      </w:r>
      <w:r>
        <w:t xml:space="preserve">.  For those who applied for </w:t>
      </w:r>
      <w:r w:rsidR="00434D52">
        <w:t>any of these</w:t>
      </w:r>
      <w:r>
        <w:t xml:space="preserve"> program</w:t>
      </w:r>
      <w:r w:rsidR="00434D52">
        <w:t>s</w:t>
      </w:r>
      <w:r>
        <w:t xml:space="preserve">, what did you think of utilization of the different standards? </w:t>
      </w:r>
      <w:r w:rsidR="007A1EBF">
        <w:t xml:space="preserve">Are there other standards that </w:t>
      </w:r>
      <w:r w:rsidR="00434D52">
        <w:t>sho</w:t>
      </w:r>
      <w:r w:rsidR="007A1EBF">
        <w:t>uld be incorporated in this category?</w:t>
      </w:r>
      <w:r>
        <w:t xml:space="preserve"> </w:t>
      </w:r>
    </w:p>
    <w:p w:rsidR="002E7630" w:rsidRDefault="002E7630" w:rsidP="002E7630">
      <w:pPr>
        <w:pStyle w:val="ListParagraph"/>
        <w:contextualSpacing/>
        <w:jc w:val="both"/>
      </w:pPr>
    </w:p>
    <w:p w:rsidR="00513BBB" w:rsidRDefault="00513BBB" w:rsidP="00513BBB">
      <w:pPr>
        <w:contextualSpacing/>
        <w:jc w:val="both"/>
      </w:pPr>
    </w:p>
    <w:p w:rsidR="00C6506A" w:rsidRDefault="00C6506A" w:rsidP="00513BBB">
      <w:pPr>
        <w:contextualSpacing/>
        <w:jc w:val="both"/>
      </w:pPr>
    </w:p>
    <w:p w:rsidR="002E7630" w:rsidRDefault="002E7630" w:rsidP="00513BBB">
      <w:pPr>
        <w:contextualSpacing/>
        <w:jc w:val="both"/>
      </w:pPr>
    </w:p>
    <w:p w:rsidR="00C6506A" w:rsidRDefault="00C6506A" w:rsidP="00513BBB">
      <w:pPr>
        <w:contextualSpacing/>
        <w:jc w:val="both"/>
      </w:pPr>
    </w:p>
    <w:p w:rsidR="00513BBB" w:rsidRDefault="00513BBB" w:rsidP="00513BBB">
      <w:pPr>
        <w:pStyle w:val="ListParagraph"/>
        <w:numPr>
          <w:ilvl w:val="1"/>
          <w:numId w:val="25"/>
        </w:numPr>
        <w:ind w:left="720"/>
        <w:contextualSpacing/>
        <w:jc w:val="both"/>
      </w:pPr>
      <w:r>
        <w:t xml:space="preserve">The Agency has encouraged Passive House building for the last </w:t>
      </w:r>
      <w:r w:rsidR="003A6BC9">
        <w:t>two (2)</w:t>
      </w:r>
      <w:r>
        <w:t xml:space="preserve"> application rounds.  Now that a number of project</w:t>
      </w:r>
      <w:r w:rsidR="000B6CBB">
        <w:t>s</w:t>
      </w:r>
      <w:r>
        <w:t xml:space="preserve"> are beginning to place in service, we are inviting feedback on following these standards.</w:t>
      </w:r>
    </w:p>
    <w:p w:rsidR="000B6CBB" w:rsidRDefault="000B6CBB" w:rsidP="000B6CBB">
      <w:pPr>
        <w:pStyle w:val="ListParagraph"/>
        <w:contextualSpacing/>
        <w:jc w:val="both"/>
      </w:pPr>
    </w:p>
    <w:p w:rsidR="000B6CBB" w:rsidRDefault="000B6CBB" w:rsidP="000B6CBB">
      <w:pPr>
        <w:pStyle w:val="ListParagraph"/>
        <w:contextualSpacing/>
        <w:jc w:val="both"/>
      </w:pPr>
    </w:p>
    <w:p w:rsidR="00C6506A" w:rsidRDefault="00C6506A" w:rsidP="000B6CBB">
      <w:pPr>
        <w:pStyle w:val="ListParagraph"/>
        <w:contextualSpacing/>
        <w:jc w:val="both"/>
      </w:pPr>
    </w:p>
    <w:p w:rsidR="00B349A6" w:rsidRDefault="00B349A6">
      <w:r>
        <w:br w:type="page"/>
      </w:r>
    </w:p>
    <w:p w:rsidR="000B6CBB" w:rsidRDefault="007A1EBF" w:rsidP="00513BBB">
      <w:pPr>
        <w:pStyle w:val="ListParagraph"/>
        <w:numPr>
          <w:ilvl w:val="1"/>
          <w:numId w:val="25"/>
        </w:numPr>
        <w:ind w:left="720"/>
        <w:contextualSpacing/>
        <w:jc w:val="both"/>
      </w:pPr>
      <w:r>
        <w:lastRenderedPageBreak/>
        <w:t xml:space="preserve">The Agency is considering use </w:t>
      </w:r>
      <w:r w:rsidR="00434D52">
        <w:t xml:space="preserve">of </w:t>
      </w:r>
      <w:r>
        <w:t>the HUD Utility Schedule Model as a single method for establishing utility allowances for underwriting projects not otherwise federally assisted consistent with Treasury Regulation Section 1.42-10 (b)(1), (2), (3) and 4(</w:t>
      </w:r>
      <w:proofErr w:type="spellStart"/>
      <w:r>
        <w:t>i</w:t>
      </w:r>
      <w:proofErr w:type="spellEnd"/>
      <w:r>
        <w:t>).  Please provide your thoughts on implementing this.</w:t>
      </w:r>
    </w:p>
    <w:p w:rsidR="000B6CBB" w:rsidRDefault="000B6CBB" w:rsidP="000B6CBB">
      <w:pPr>
        <w:contextualSpacing/>
        <w:jc w:val="both"/>
      </w:pPr>
    </w:p>
    <w:p w:rsidR="000B6CBB" w:rsidRDefault="000B6CBB" w:rsidP="000B6CBB">
      <w:pPr>
        <w:contextualSpacing/>
        <w:jc w:val="both"/>
      </w:pPr>
    </w:p>
    <w:p w:rsidR="000B6CBB" w:rsidRDefault="000B6CBB" w:rsidP="000B6CBB">
      <w:pPr>
        <w:contextualSpacing/>
        <w:jc w:val="both"/>
      </w:pPr>
    </w:p>
    <w:p w:rsidR="00513BBB" w:rsidRDefault="00513BBB" w:rsidP="00513BBB">
      <w:pPr>
        <w:contextualSpacing/>
        <w:jc w:val="both"/>
      </w:pPr>
    </w:p>
    <w:p w:rsidR="00513BBB" w:rsidRPr="000D779E" w:rsidRDefault="00513BBB" w:rsidP="00513BBB">
      <w:pPr>
        <w:pStyle w:val="ListParagraph"/>
        <w:numPr>
          <w:ilvl w:val="0"/>
          <w:numId w:val="25"/>
        </w:numPr>
        <w:ind w:left="360"/>
        <w:contextualSpacing/>
        <w:jc w:val="both"/>
        <w:rPr>
          <w:u w:val="single"/>
        </w:rPr>
      </w:pPr>
      <w:r w:rsidRPr="000D779E">
        <w:rPr>
          <w:u w:val="single"/>
        </w:rPr>
        <w:t>Resident Population and Services – Section 811 Participation</w:t>
      </w:r>
    </w:p>
    <w:p w:rsidR="00513BBB" w:rsidRDefault="00513BBB" w:rsidP="00513BBB">
      <w:pPr>
        <w:contextualSpacing/>
        <w:jc w:val="both"/>
      </w:pPr>
    </w:p>
    <w:p w:rsidR="004179FA" w:rsidRDefault="00513BBB" w:rsidP="00513BBB">
      <w:pPr>
        <w:ind w:left="360"/>
        <w:contextualSpacing/>
        <w:jc w:val="both"/>
      </w:pPr>
      <w:r>
        <w:t xml:space="preserve">In the 2017/2018 Allocation Plan, points are available to those developments with applicants and/or management agents that agree to include Section 811 units, designated for persons with disabilities ages 18-61, in existing properties or those under development.  </w:t>
      </w:r>
      <w:r w:rsidR="002E7630">
        <w:t>By the end of 2017, a</w:t>
      </w:r>
      <w:r>
        <w:t xml:space="preserve"> number of </w:t>
      </w:r>
      <w:r w:rsidR="00F16F5A">
        <w:t>owners have entered into Agreements to Enter into a Rental Assistance Contract or Rental Assistance Contracts for properties to qualify for points</w:t>
      </w:r>
      <w:r w:rsidR="002E7630">
        <w:t xml:space="preserve"> under the 2017/2018 Allocation Plan</w:t>
      </w:r>
      <w:r w:rsidR="00CF27D7">
        <w:t xml:space="preserve">.  </w:t>
      </w:r>
    </w:p>
    <w:p w:rsidR="004179FA" w:rsidRDefault="004179FA" w:rsidP="00513BBB">
      <w:pPr>
        <w:ind w:left="360"/>
        <w:contextualSpacing/>
        <w:jc w:val="both"/>
      </w:pPr>
    </w:p>
    <w:p w:rsidR="00513BBB" w:rsidRDefault="00CF27D7" w:rsidP="00513BBB">
      <w:pPr>
        <w:ind w:left="360"/>
        <w:contextualSpacing/>
        <w:jc w:val="both"/>
      </w:pPr>
      <w:r>
        <w:t xml:space="preserve">We are seeking feedback on how we </w:t>
      </w:r>
      <w:r w:rsidR="00434D52">
        <w:t>may</w:t>
      </w:r>
      <w:r>
        <w:t xml:space="preserve"> further facilitate incorporating 811 units in developments.  What assistance </w:t>
      </w:r>
      <w:r w:rsidR="00434D52">
        <w:t>might</w:t>
      </w:r>
      <w:r>
        <w:t xml:space="preserve"> PHFA or the Department of Human Services provide to ensure </w:t>
      </w:r>
      <w:r w:rsidR="003A66F2">
        <w:t>successful occupancy?  Is there technical assistance or guidance that is need</w:t>
      </w:r>
      <w:r w:rsidR="000B6CBB">
        <w:t>ed</w:t>
      </w:r>
      <w:r w:rsidR="003A66F2">
        <w:t xml:space="preserve"> to do this?  </w:t>
      </w:r>
    </w:p>
    <w:p w:rsidR="003A66F2" w:rsidRDefault="003A66F2" w:rsidP="00513BBB">
      <w:pPr>
        <w:ind w:left="360"/>
        <w:contextualSpacing/>
        <w:jc w:val="both"/>
      </w:pPr>
    </w:p>
    <w:p w:rsidR="003A66F2" w:rsidRDefault="003A66F2" w:rsidP="00513BBB">
      <w:pPr>
        <w:ind w:left="360"/>
        <w:contextualSpacing/>
        <w:jc w:val="both"/>
      </w:pPr>
    </w:p>
    <w:p w:rsidR="00990509" w:rsidRDefault="00990509" w:rsidP="00990509">
      <w:pPr>
        <w:ind w:left="360"/>
        <w:contextualSpacing/>
        <w:jc w:val="both"/>
      </w:pPr>
    </w:p>
    <w:p w:rsidR="00C947FB" w:rsidRDefault="00C947FB" w:rsidP="004D7413">
      <w:pPr>
        <w:ind w:left="360"/>
        <w:contextualSpacing/>
        <w:jc w:val="both"/>
      </w:pPr>
    </w:p>
    <w:p w:rsidR="00F63C37" w:rsidRDefault="00F63C37" w:rsidP="0034395D">
      <w:pPr>
        <w:contextualSpacing/>
        <w:jc w:val="both"/>
      </w:pPr>
    </w:p>
    <w:p w:rsidR="002256A2" w:rsidRPr="000D779E" w:rsidRDefault="002256A2" w:rsidP="00985A2D">
      <w:pPr>
        <w:numPr>
          <w:ilvl w:val="0"/>
          <w:numId w:val="25"/>
        </w:numPr>
        <w:ind w:left="360"/>
        <w:contextualSpacing/>
        <w:jc w:val="both"/>
        <w:rPr>
          <w:u w:val="single"/>
        </w:rPr>
      </w:pPr>
      <w:r w:rsidRPr="000D779E">
        <w:rPr>
          <w:u w:val="single"/>
        </w:rPr>
        <w:t xml:space="preserve">Development Process – </w:t>
      </w:r>
      <w:r w:rsidR="006D2718" w:rsidRPr="000D779E">
        <w:rPr>
          <w:u w:val="single"/>
        </w:rPr>
        <w:t>Completeness of Application</w:t>
      </w:r>
    </w:p>
    <w:p w:rsidR="002256A2" w:rsidRPr="000D779E" w:rsidRDefault="002256A2" w:rsidP="002256A2">
      <w:pPr>
        <w:contextualSpacing/>
        <w:jc w:val="both"/>
        <w:rPr>
          <w:u w:val="single"/>
        </w:rPr>
      </w:pPr>
    </w:p>
    <w:p w:rsidR="002256A2" w:rsidRDefault="006D2718" w:rsidP="002256A2">
      <w:pPr>
        <w:ind w:left="360"/>
        <w:contextualSpacing/>
        <w:jc w:val="both"/>
      </w:pPr>
      <w:r>
        <w:t>Based on the Agency’s i</w:t>
      </w:r>
      <w:r w:rsidR="002E7630">
        <w:t>nitial review of the 2017/2018 a</w:t>
      </w:r>
      <w:r>
        <w:t>pplications, a significant number of applications displayed inconsistencies or incomplete items such as</w:t>
      </w:r>
      <w:r w:rsidR="003A66F2">
        <w:t>:</w:t>
      </w:r>
      <w:r>
        <w:t xml:space="preserve"> financing commitments failed to match Tab 2, site control missing all properties, market study</w:t>
      </w:r>
      <w:r w:rsidR="003A66F2">
        <w:t xml:space="preserve"> did not support rental projections</w:t>
      </w:r>
      <w:r>
        <w:t>, self-scoring did not meet Allocation Plan minimum ranking.   In previous years, the Agency either deducted points for incomplete applications or awarded points for compl</w:t>
      </w:r>
      <w:r w:rsidR="003A66F2">
        <w:t>eteness.  The Agency anticipates</w:t>
      </w:r>
      <w:r>
        <w:t xml:space="preserve"> reinstating bonus point</w:t>
      </w:r>
      <w:r w:rsidR="003A66F2">
        <w:t>s</w:t>
      </w:r>
      <w:r>
        <w:t xml:space="preserve"> for application completeness.  What do you think?</w:t>
      </w:r>
    </w:p>
    <w:p w:rsidR="00C947FB" w:rsidRDefault="00C947FB" w:rsidP="002256A2">
      <w:pPr>
        <w:ind w:left="360"/>
        <w:contextualSpacing/>
        <w:jc w:val="both"/>
      </w:pPr>
    </w:p>
    <w:p w:rsidR="00C947FB" w:rsidRDefault="00C947FB" w:rsidP="002256A2">
      <w:pPr>
        <w:ind w:left="360"/>
        <w:contextualSpacing/>
        <w:jc w:val="both"/>
      </w:pPr>
    </w:p>
    <w:p w:rsidR="00C947FB" w:rsidRDefault="00C947FB" w:rsidP="002256A2">
      <w:pPr>
        <w:ind w:left="360"/>
        <w:contextualSpacing/>
        <w:jc w:val="both"/>
      </w:pPr>
    </w:p>
    <w:p w:rsidR="00CC0DAE" w:rsidRDefault="00CC0DAE" w:rsidP="002256A2">
      <w:pPr>
        <w:ind w:left="360"/>
        <w:contextualSpacing/>
        <w:jc w:val="both"/>
      </w:pPr>
    </w:p>
    <w:p w:rsidR="00B349A6" w:rsidRDefault="00B349A6">
      <w:r>
        <w:br w:type="page"/>
      </w:r>
    </w:p>
    <w:p w:rsidR="00257093" w:rsidRPr="000D779E" w:rsidRDefault="004745A0" w:rsidP="00985A2D">
      <w:pPr>
        <w:numPr>
          <w:ilvl w:val="0"/>
          <w:numId w:val="25"/>
        </w:numPr>
        <w:ind w:left="360"/>
        <w:contextualSpacing/>
        <w:jc w:val="both"/>
        <w:rPr>
          <w:u w:val="single"/>
        </w:rPr>
      </w:pPr>
      <w:r w:rsidRPr="000D779E">
        <w:rPr>
          <w:u w:val="single"/>
        </w:rPr>
        <w:lastRenderedPageBreak/>
        <w:t xml:space="preserve">Development Process - </w:t>
      </w:r>
      <w:r w:rsidR="00257093" w:rsidRPr="000D779E">
        <w:rPr>
          <w:u w:val="single"/>
        </w:rPr>
        <w:t>Ability to Proceed</w:t>
      </w:r>
    </w:p>
    <w:p w:rsidR="00257093" w:rsidRDefault="00257093" w:rsidP="00257093">
      <w:pPr>
        <w:contextualSpacing/>
        <w:jc w:val="both"/>
      </w:pPr>
    </w:p>
    <w:p w:rsidR="006D2718" w:rsidRDefault="00CC0DAE" w:rsidP="00257093">
      <w:pPr>
        <w:ind w:left="360"/>
        <w:contextualSpacing/>
        <w:jc w:val="both"/>
      </w:pPr>
      <w:r>
        <w:t xml:space="preserve">While a number of the 2016 Tax Credit developments were faced with delays (and pricing adjustments) in anticipation of federal Tax Reform, 50% of the developments requested a Modification of Award.  Modification requests were submitted for the following reasons: change in </w:t>
      </w:r>
      <w:r w:rsidR="006D2718">
        <w:t xml:space="preserve">property </w:t>
      </w:r>
      <w:r>
        <w:t>site</w:t>
      </w:r>
      <w:r w:rsidR="003A66F2">
        <w:t>s</w:t>
      </w:r>
      <w:r>
        <w:t xml:space="preserve"> (or increase in site a</w:t>
      </w:r>
      <w:r w:rsidR="003A66F2">
        <w:t>rea), number of units/</w:t>
      </w:r>
      <w:r>
        <w:t xml:space="preserve">bedroom counts, </w:t>
      </w:r>
      <w:r w:rsidR="003A66F2">
        <w:t xml:space="preserve">ownership structures, operating subsidies and financing terms and conditions.  </w:t>
      </w:r>
      <w:r w:rsidR="006D2718">
        <w:t>Additionally, as in past years, the Agency saw delays due to zoning, municipal and environmental approvals</w:t>
      </w:r>
      <w:r w:rsidR="003A66F2">
        <w:t xml:space="preserve"> and</w:t>
      </w:r>
      <w:r w:rsidR="006D2718">
        <w:t xml:space="preserve"> third party approvals</w:t>
      </w:r>
      <w:r w:rsidR="003A66F2">
        <w:t>.</w:t>
      </w:r>
      <w:r w:rsidR="006D2718">
        <w:t xml:space="preserve"> </w:t>
      </w:r>
    </w:p>
    <w:p w:rsidR="006D2718" w:rsidRDefault="006D2718" w:rsidP="00257093">
      <w:pPr>
        <w:ind w:left="360"/>
        <w:contextualSpacing/>
        <w:jc w:val="both"/>
      </w:pPr>
    </w:p>
    <w:p w:rsidR="002E7630" w:rsidRDefault="002E7630" w:rsidP="00257093">
      <w:pPr>
        <w:ind w:left="360"/>
        <w:contextualSpacing/>
        <w:jc w:val="both"/>
      </w:pPr>
    </w:p>
    <w:p w:rsidR="00CC0DAE" w:rsidRDefault="006D2718" w:rsidP="00257093">
      <w:pPr>
        <w:ind w:left="360"/>
        <w:contextualSpacing/>
        <w:jc w:val="both"/>
      </w:pPr>
      <w:r>
        <w:t xml:space="preserve">Should the Agency give bonus points for developments </w:t>
      </w:r>
      <w:r w:rsidR="00985A2D">
        <w:t xml:space="preserve">which are </w:t>
      </w:r>
      <w:r>
        <w:t xml:space="preserve">able to proceed within </w:t>
      </w:r>
      <w:proofErr w:type="gramStart"/>
      <w:r>
        <w:t>an Agency proscribed deadlines</w:t>
      </w:r>
      <w:proofErr w:type="gramEnd"/>
      <w:r>
        <w:t xml:space="preserve">?  If so, what is the appropriate timeline from award to equity closing </w:t>
      </w:r>
      <w:r w:rsidR="00183885">
        <w:t>assuming</w:t>
      </w:r>
      <w:r>
        <w:t xml:space="preserve"> an Agency award of Tax Credits in Spring 2019?</w:t>
      </w:r>
    </w:p>
    <w:p w:rsidR="006D2718" w:rsidRDefault="006D2718" w:rsidP="00257093">
      <w:pPr>
        <w:ind w:left="360"/>
        <w:contextualSpacing/>
        <w:jc w:val="both"/>
      </w:pPr>
    </w:p>
    <w:p w:rsidR="00F63C37" w:rsidRDefault="00F63C37" w:rsidP="00F63C37">
      <w:pPr>
        <w:contextualSpacing/>
        <w:jc w:val="both"/>
      </w:pPr>
    </w:p>
    <w:p w:rsidR="00F63C37" w:rsidRDefault="00F63C37" w:rsidP="00F63C37">
      <w:pPr>
        <w:contextualSpacing/>
        <w:jc w:val="both"/>
      </w:pPr>
    </w:p>
    <w:p w:rsidR="00C6506A" w:rsidRDefault="00C6506A" w:rsidP="00F63C37">
      <w:pPr>
        <w:contextualSpacing/>
        <w:jc w:val="both"/>
      </w:pPr>
    </w:p>
    <w:p w:rsidR="00F63C37" w:rsidRDefault="00F63C37" w:rsidP="00F63C37">
      <w:pPr>
        <w:contextualSpacing/>
        <w:jc w:val="both"/>
      </w:pPr>
    </w:p>
    <w:p w:rsidR="0098119C" w:rsidRDefault="00842C14" w:rsidP="0034395D">
      <w:pPr>
        <w:contextualSpacing/>
        <w:jc w:val="both"/>
        <w:rPr>
          <w:b/>
        </w:rPr>
      </w:pPr>
      <w:r>
        <w:rPr>
          <w:b/>
        </w:rPr>
        <w:t>O</w:t>
      </w:r>
      <w:r w:rsidR="0098119C">
        <w:rPr>
          <w:b/>
        </w:rPr>
        <w:t>ther</w:t>
      </w:r>
      <w:r w:rsidR="0098119C">
        <w:rPr>
          <w:b/>
        </w:rPr>
        <w:tab/>
      </w:r>
    </w:p>
    <w:p w:rsidR="006E48DD" w:rsidRDefault="006E48DD" w:rsidP="0034395D">
      <w:pPr>
        <w:contextualSpacing/>
        <w:jc w:val="both"/>
      </w:pPr>
    </w:p>
    <w:p w:rsidR="0098119C" w:rsidRDefault="0098119C" w:rsidP="00985A2D">
      <w:pPr>
        <w:numPr>
          <w:ilvl w:val="0"/>
          <w:numId w:val="25"/>
        </w:numPr>
        <w:ind w:left="540" w:hanging="540"/>
        <w:contextualSpacing/>
        <w:jc w:val="both"/>
      </w:pPr>
      <w:r>
        <w:t xml:space="preserve">Are there any other comments you would like to provide regarding changes the Agency should consider for the </w:t>
      </w:r>
      <w:r w:rsidR="00C6506A">
        <w:t>2019</w:t>
      </w:r>
      <w:r>
        <w:t xml:space="preserve"> Allocation Plan</w:t>
      </w:r>
      <w:r w:rsidR="00340F0A">
        <w:t>?</w:t>
      </w:r>
    </w:p>
    <w:p w:rsidR="00765C58" w:rsidRDefault="00765C58" w:rsidP="00765C58">
      <w:pPr>
        <w:contextualSpacing/>
        <w:jc w:val="both"/>
      </w:pPr>
    </w:p>
    <w:p w:rsidR="00765C58" w:rsidRDefault="00765C58" w:rsidP="00765C58">
      <w:pPr>
        <w:contextualSpacing/>
        <w:jc w:val="both"/>
      </w:pPr>
    </w:p>
    <w:p w:rsidR="00765C58" w:rsidRDefault="00765C58" w:rsidP="00765C58">
      <w:pPr>
        <w:contextualSpacing/>
        <w:jc w:val="both"/>
      </w:pPr>
    </w:p>
    <w:p w:rsidR="00765C58" w:rsidRDefault="00765C58" w:rsidP="00765C58">
      <w:pPr>
        <w:contextualSpacing/>
        <w:jc w:val="both"/>
      </w:pPr>
    </w:p>
    <w:p w:rsidR="00765C58" w:rsidRDefault="00765C58" w:rsidP="00765C58">
      <w:pPr>
        <w:ind w:left="540"/>
        <w:contextualSpacing/>
        <w:jc w:val="both"/>
      </w:pPr>
    </w:p>
    <w:p w:rsidR="00183885" w:rsidRPr="0098119C" w:rsidRDefault="00183885">
      <w:pPr>
        <w:numPr>
          <w:ilvl w:val="0"/>
          <w:numId w:val="25"/>
        </w:numPr>
        <w:ind w:left="540" w:hanging="540"/>
        <w:contextualSpacing/>
        <w:jc w:val="both"/>
      </w:pPr>
      <w:r>
        <w:t xml:space="preserve">Are there any other aspects of the Agency's program review or processing that you would like to comment on?   Do you have any suggestions for how PHFA might encourage more timely completed and accurate placed in service packages so we might improve our processing timelines?  </w:t>
      </w:r>
      <w:r w:rsidR="00E91101">
        <w:t xml:space="preserve">The Agency is considering returning incompletely packages, in full, in lieu of partial reviews to streamline the cost certification process.  What do you think of this proposal?  </w:t>
      </w:r>
      <w:r>
        <w:t>Would established deadlines for both receipt of and review of placed i</w:t>
      </w:r>
      <w:r w:rsidR="00765C58">
        <w:t>n service packages be helpful?</w:t>
      </w:r>
    </w:p>
    <w:sectPr w:rsidR="00183885" w:rsidRPr="0098119C" w:rsidSect="00B856D4">
      <w:headerReference w:type="default" r:id="rId8"/>
      <w:footerReference w:type="default" r:id="rId9"/>
      <w:headerReference w:type="first" r:id="rId10"/>
      <w:pgSz w:w="12240" w:h="15840" w:code="1"/>
      <w:pgMar w:top="720" w:right="1440" w:bottom="72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3473" w:rsidRDefault="000F3473">
      <w:r>
        <w:separator/>
      </w:r>
    </w:p>
  </w:endnote>
  <w:endnote w:type="continuationSeparator" w:id="0">
    <w:p w:rsidR="000F3473" w:rsidRDefault="000F3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69A" w:rsidRDefault="000A5524" w:rsidP="00E82E2E">
    <w:pPr>
      <w:pStyle w:val="Footer"/>
      <w:jc w:val="center"/>
    </w:pPr>
    <w:r>
      <w:rPr>
        <w:rStyle w:val="PageNumber"/>
      </w:rPr>
      <w:fldChar w:fldCharType="begin"/>
    </w:r>
    <w:r w:rsidR="009C269A">
      <w:rPr>
        <w:rStyle w:val="PageNumber"/>
      </w:rPr>
      <w:instrText xml:space="preserve"> PAGE </w:instrText>
    </w:r>
    <w:r>
      <w:rPr>
        <w:rStyle w:val="PageNumber"/>
      </w:rPr>
      <w:fldChar w:fldCharType="separate"/>
    </w:r>
    <w:r w:rsidR="00021ADE">
      <w:rPr>
        <w:rStyle w:val="PageNumber"/>
        <w:noProof/>
      </w:rPr>
      <w:t>- 5 -</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3473" w:rsidRDefault="000F3473">
      <w:r>
        <w:separator/>
      </w:r>
    </w:p>
  </w:footnote>
  <w:footnote w:type="continuationSeparator" w:id="0">
    <w:p w:rsidR="000F3473" w:rsidRDefault="000F3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69A" w:rsidRDefault="009C269A">
    <w:pPr>
      <w:pStyle w:val="Header"/>
    </w:pPr>
  </w:p>
  <w:p w:rsidR="009C269A" w:rsidRDefault="009C26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69A" w:rsidRPr="00C6506A" w:rsidRDefault="009C269A" w:rsidP="00B05F29">
    <w:pPr>
      <w:jc w:val="center"/>
      <w:rPr>
        <w:b/>
        <w:smallCaps/>
        <w:sz w:val="28"/>
        <w:szCs w:val="28"/>
      </w:rPr>
    </w:pPr>
    <w:r w:rsidRPr="00C6506A">
      <w:rPr>
        <w:b/>
        <w:smallCaps/>
        <w:sz w:val="28"/>
        <w:szCs w:val="28"/>
      </w:rPr>
      <w:t>PENNSYLVANIA HOUSING FINANCE AGENCY</w:t>
    </w:r>
  </w:p>
  <w:p w:rsidR="009C269A" w:rsidRPr="00C6506A" w:rsidRDefault="00424473" w:rsidP="00B05F29">
    <w:pPr>
      <w:jc w:val="center"/>
      <w:rPr>
        <w:b/>
        <w:smallCaps/>
        <w:sz w:val="28"/>
        <w:szCs w:val="28"/>
      </w:rPr>
    </w:pPr>
    <w:r w:rsidRPr="00C6506A">
      <w:rPr>
        <w:b/>
        <w:smallCaps/>
        <w:sz w:val="28"/>
        <w:szCs w:val="28"/>
      </w:rPr>
      <w:t>LIHTC Allocation Plan for</w:t>
    </w:r>
    <w:r w:rsidR="004B3F2C" w:rsidRPr="00C6506A">
      <w:rPr>
        <w:b/>
        <w:smallCaps/>
        <w:sz w:val="28"/>
        <w:szCs w:val="28"/>
      </w:rPr>
      <w:t xml:space="preserve"> 2019</w:t>
    </w:r>
  </w:p>
  <w:p w:rsidR="009C269A" w:rsidRPr="00E82E2E" w:rsidRDefault="009C269A" w:rsidP="00B05F29">
    <w:pPr>
      <w:jc w:val="center"/>
      <w:rPr>
        <w:b/>
        <w:smallCaps/>
      </w:rPr>
    </w:pPr>
  </w:p>
  <w:p w:rsidR="009C269A" w:rsidRPr="00E82E2E" w:rsidRDefault="009C269A" w:rsidP="00B05F29">
    <w:pPr>
      <w:rPr>
        <w:sz w:val="12"/>
        <w:szCs w:val="12"/>
      </w:rPr>
    </w:pPr>
  </w:p>
  <w:p w:rsidR="009C269A" w:rsidRPr="00C6506A" w:rsidRDefault="00C6506A" w:rsidP="00B05F29">
    <w:pPr>
      <w:jc w:val="center"/>
      <w:rPr>
        <w:b/>
        <w:sz w:val="28"/>
        <w:szCs w:val="28"/>
      </w:rPr>
    </w:pPr>
    <w:r w:rsidRPr="00C6506A">
      <w:rPr>
        <w:b/>
        <w:sz w:val="28"/>
        <w:szCs w:val="28"/>
      </w:rPr>
      <w:t>Housing Partner Survey</w:t>
    </w:r>
  </w:p>
  <w:p w:rsidR="009C269A" w:rsidRDefault="009C2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B0DDA"/>
    <w:multiLevelType w:val="hybridMultilevel"/>
    <w:tmpl w:val="E0E8B09A"/>
    <w:lvl w:ilvl="0" w:tplc="57CEE8C6">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BA61B9F"/>
    <w:multiLevelType w:val="hybridMultilevel"/>
    <w:tmpl w:val="E30A7AEA"/>
    <w:lvl w:ilvl="0" w:tplc="C9542DB6">
      <w:start w:val="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1DF47B7"/>
    <w:multiLevelType w:val="hybridMultilevel"/>
    <w:tmpl w:val="EC52B2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351FDB"/>
    <w:multiLevelType w:val="hybridMultilevel"/>
    <w:tmpl w:val="69B49A12"/>
    <w:lvl w:ilvl="0" w:tplc="9FA889B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3D13D2"/>
    <w:multiLevelType w:val="hybridMultilevel"/>
    <w:tmpl w:val="C6F08EC8"/>
    <w:lvl w:ilvl="0" w:tplc="39F26C3C">
      <w:start w:val="3"/>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93544F8"/>
    <w:multiLevelType w:val="hybridMultilevel"/>
    <w:tmpl w:val="4E4883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A9F6FE7"/>
    <w:multiLevelType w:val="hybridMultilevel"/>
    <w:tmpl w:val="C6F08EC8"/>
    <w:lvl w:ilvl="0" w:tplc="39F26C3C">
      <w:start w:val="3"/>
      <w:numFmt w:val="decimal"/>
      <w:lvlText w:val="%1."/>
      <w:lvlJc w:val="left"/>
      <w:pPr>
        <w:ind w:left="72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D684D9F"/>
    <w:multiLevelType w:val="hybridMultilevel"/>
    <w:tmpl w:val="0472F1F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15E424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315167E"/>
    <w:multiLevelType w:val="hybridMultilevel"/>
    <w:tmpl w:val="399ECB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E67D37"/>
    <w:multiLevelType w:val="hybridMultilevel"/>
    <w:tmpl w:val="D1487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E21E41"/>
    <w:multiLevelType w:val="hybridMultilevel"/>
    <w:tmpl w:val="9C1098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072D10"/>
    <w:multiLevelType w:val="hybridMultilevel"/>
    <w:tmpl w:val="45649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8329FD"/>
    <w:multiLevelType w:val="hybridMultilevel"/>
    <w:tmpl w:val="29E0D976"/>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DA1EC4"/>
    <w:multiLevelType w:val="hybridMultilevel"/>
    <w:tmpl w:val="74F8D72C"/>
    <w:lvl w:ilvl="0" w:tplc="071E6C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8D654D"/>
    <w:multiLevelType w:val="hybridMultilevel"/>
    <w:tmpl w:val="C80021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E26B73"/>
    <w:multiLevelType w:val="hybridMultilevel"/>
    <w:tmpl w:val="A0123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B423B3"/>
    <w:multiLevelType w:val="hybridMultilevel"/>
    <w:tmpl w:val="70FC0C08"/>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C711C81"/>
    <w:multiLevelType w:val="hybridMultilevel"/>
    <w:tmpl w:val="E1BCA642"/>
    <w:lvl w:ilvl="0" w:tplc="E6EA63CC">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61565F16"/>
    <w:multiLevelType w:val="hybridMultilevel"/>
    <w:tmpl w:val="6A14126C"/>
    <w:lvl w:ilvl="0" w:tplc="85AE0566">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669703E7"/>
    <w:multiLevelType w:val="hybridMultilevel"/>
    <w:tmpl w:val="B44447B0"/>
    <w:lvl w:ilvl="0" w:tplc="A8067F8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F95F71"/>
    <w:multiLevelType w:val="hybridMultilevel"/>
    <w:tmpl w:val="540E36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B1D76F4"/>
    <w:multiLevelType w:val="hybridMultilevel"/>
    <w:tmpl w:val="8D36EE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E0B7009"/>
    <w:multiLevelType w:val="hybridMultilevel"/>
    <w:tmpl w:val="2FDA34C8"/>
    <w:lvl w:ilvl="0" w:tplc="04090001">
      <w:start w:val="1"/>
      <w:numFmt w:val="bullet"/>
      <w:lvlText w:val=""/>
      <w:lvlJc w:val="left"/>
      <w:pPr>
        <w:ind w:left="1448" w:hanging="360"/>
      </w:pPr>
      <w:rPr>
        <w:rFonts w:ascii="Symbol" w:hAnsi="Symbol" w:hint="default"/>
      </w:rPr>
    </w:lvl>
    <w:lvl w:ilvl="1" w:tplc="04090003">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4" w15:restartNumberingAfterBreak="0">
    <w:nsid w:val="6E144621"/>
    <w:multiLevelType w:val="hybridMultilevel"/>
    <w:tmpl w:val="1C6EF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E12611"/>
    <w:multiLevelType w:val="hybridMultilevel"/>
    <w:tmpl w:val="1FD826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86E6A1A"/>
    <w:multiLevelType w:val="hybridMultilevel"/>
    <w:tmpl w:val="0720CF34"/>
    <w:lvl w:ilvl="0" w:tplc="8CB214F0">
      <w:start w:val="1"/>
      <w:numFmt w:val="decimal"/>
      <w:lvlText w:val="%1."/>
      <w:lvlJc w:val="left"/>
      <w:pPr>
        <w:ind w:left="8442" w:hanging="360"/>
      </w:pPr>
      <w:rPr>
        <w:rFonts w:hint="default"/>
        <w:b w:val="0"/>
      </w:rPr>
    </w:lvl>
    <w:lvl w:ilvl="1" w:tplc="04090019" w:tentative="1">
      <w:start w:val="1"/>
      <w:numFmt w:val="lowerLetter"/>
      <w:lvlText w:val="%2."/>
      <w:lvlJc w:val="left"/>
      <w:pPr>
        <w:ind w:left="9162" w:hanging="360"/>
      </w:pPr>
    </w:lvl>
    <w:lvl w:ilvl="2" w:tplc="0409001B" w:tentative="1">
      <w:start w:val="1"/>
      <w:numFmt w:val="lowerRoman"/>
      <w:lvlText w:val="%3."/>
      <w:lvlJc w:val="right"/>
      <w:pPr>
        <w:ind w:left="9882" w:hanging="180"/>
      </w:pPr>
    </w:lvl>
    <w:lvl w:ilvl="3" w:tplc="0409000F" w:tentative="1">
      <w:start w:val="1"/>
      <w:numFmt w:val="decimal"/>
      <w:lvlText w:val="%4."/>
      <w:lvlJc w:val="left"/>
      <w:pPr>
        <w:ind w:left="10602" w:hanging="360"/>
      </w:pPr>
    </w:lvl>
    <w:lvl w:ilvl="4" w:tplc="04090019" w:tentative="1">
      <w:start w:val="1"/>
      <w:numFmt w:val="lowerLetter"/>
      <w:lvlText w:val="%5."/>
      <w:lvlJc w:val="left"/>
      <w:pPr>
        <w:ind w:left="11322" w:hanging="360"/>
      </w:pPr>
    </w:lvl>
    <w:lvl w:ilvl="5" w:tplc="0409001B" w:tentative="1">
      <w:start w:val="1"/>
      <w:numFmt w:val="lowerRoman"/>
      <w:lvlText w:val="%6."/>
      <w:lvlJc w:val="right"/>
      <w:pPr>
        <w:ind w:left="12042" w:hanging="180"/>
      </w:pPr>
    </w:lvl>
    <w:lvl w:ilvl="6" w:tplc="0409000F" w:tentative="1">
      <w:start w:val="1"/>
      <w:numFmt w:val="decimal"/>
      <w:lvlText w:val="%7."/>
      <w:lvlJc w:val="left"/>
      <w:pPr>
        <w:ind w:left="12762" w:hanging="360"/>
      </w:pPr>
    </w:lvl>
    <w:lvl w:ilvl="7" w:tplc="04090019" w:tentative="1">
      <w:start w:val="1"/>
      <w:numFmt w:val="lowerLetter"/>
      <w:lvlText w:val="%8."/>
      <w:lvlJc w:val="left"/>
      <w:pPr>
        <w:ind w:left="13482" w:hanging="360"/>
      </w:pPr>
    </w:lvl>
    <w:lvl w:ilvl="8" w:tplc="0409001B" w:tentative="1">
      <w:start w:val="1"/>
      <w:numFmt w:val="lowerRoman"/>
      <w:lvlText w:val="%9."/>
      <w:lvlJc w:val="right"/>
      <w:pPr>
        <w:ind w:left="14202" w:hanging="180"/>
      </w:pPr>
    </w:lvl>
  </w:abstractNum>
  <w:abstractNum w:abstractNumId="27" w15:restartNumberingAfterBreak="0">
    <w:nsid w:val="7E263D2A"/>
    <w:multiLevelType w:val="hybridMultilevel"/>
    <w:tmpl w:val="29CE1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8"/>
  </w:num>
  <w:num w:numId="4">
    <w:abstractNumId w:val="7"/>
  </w:num>
  <w:num w:numId="5">
    <w:abstractNumId w:val="5"/>
  </w:num>
  <w:num w:numId="6">
    <w:abstractNumId w:val="25"/>
  </w:num>
  <w:num w:numId="7">
    <w:abstractNumId w:val="27"/>
  </w:num>
  <w:num w:numId="8">
    <w:abstractNumId w:val="0"/>
  </w:num>
  <w:num w:numId="9">
    <w:abstractNumId w:val="18"/>
  </w:num>
  <w:num w:numId="10">
    <w:abstractNumId w:val="23"/>
  </w:num>
  <w:num w:numId="11">
    <w:abstractNumId w:val="17"/>
  </w:num>
  <w:num w:numId="12">
    <w:abstractNumId w:val="14"/>
  </w:num>
  <w:num w:numId="13">
    <w:abstractNumId w:val="24"/>
  </w:num>
  <w:num w:numId="14">
    <w:abstractNumId w:val="16"/>
  </w:num>
  <w:num w:numId="15">
    <w:abstractNumId w:val="10"/>
  </w:num>
  <w:num w:numId="16">
    <w:abstractNumId w:val="26"/>
  </w:num>
  <w:num w:numId="17">
    <w:abstractNumId w:val="6"/>
  </w:num>
  <w:num w:numId="18">
    <w:abstractNumId w:val="1"/>
  </w:num>
  <w:num w:numId="19">
    <w:abstractNumId w:val="4"/>
  </w:num>
  <w:num w:numId="20">
    <w:abstractNumId w:val="2"/>
  </w:num>
  <w:num w:numId="21">
    <w:abstractNumId w:val="15"/>
  </w:num>
  <w:num w:numId="22">
    <w:abstractNumId w:val="19"/>
  </w:num>
  <w:num w:numId="23">
    <w:abstractNumId w:val="12"/>
  </w:num>
  <w:num w:numId="24">
    <w:abstractNumId w:val="20"/>
  </w:num>
  <w:num w:numId="25">
    <w:abstractNumId w:val="13"/>
  </w:num>
  <w:num w:numId="26">
    <w:abstractNumId w:val="21"/>
  </w:num>
  <w:num w:numId="27">
    <w:abstractNumId w:val="22"/>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2E"/>
    <w:rsid w:val="00021ADE"/>
    <w:rsid w:val="00027115"/>
    <w:rsid w:val="00035B13"/>
    <w:rsid w:val="00037942"/>
    <w:rsid w:val="00040C2F"/>
    <w:rsid w:val="00041E22"/>
    <w:rsid w:val="00045CF3"/>
    <w:rsid w:val="00075332"/>
    <w:rsid w:val="0008587B"/>
    <w:rsid w:val="000A17C0"/>
    <w:rsid w:val="000A5524"/>
    <w:rsid w:val="000B6CBB"/>
    <w:rsid w:val="000C3359"/>
    <w:rsid w:val="000D4021"/>
    <w:rsid w:val="000D779E"/>
    <w:rsid w:val="000E58F7"/>
    <w:rsid w:val="000F0C03"/>
    <w:rsid w:val="000F3473"/>
    <w:rsid w:val="00115DC6"/>
    <w:rsid w:val="0011774B"/>
    <w:rsid w:val="00120C09"/>
    <w:rsid w:val="00121F55"/>
    <w:rsid w:val="0012209C"/>
    <w:rsid w:val="00124F06"/>
    <w:rsid w:val="00130E98"/>
    <w:rsid w:val="0013101D"/>
    <w:rsid w:val="0015559B"/>
    <w:rsid w:val="00183885"/>
    <w:rsid w:val="00193FB8"/>
    <w:rsid w:val="001D6C38"/>
    <w:rsid w:val="001E260C"/>
    <w:rsid w:val="001F22F3"/>
    <w:rsid w:val="001F4FD0"/>
    <w:rsid w:val="00223325"/>
    <w:rsid w:val="00224E58"/>
    <w:rsid w:val="002256A2"/>
    <w:rsid w:val="002338C0"/>
    <w:rsid w:val="002363DB"/>
    <w:rsid w:val="0024169B"/>
    <w:rsid w:val="00253F1C"/>
    <w:rsid w:val="00257093"/>
    <w:rsid w:val="00264828"/>
    <w:rsid w:val="00265F98"/>
    <w:rsid w:val="00293937"/>
    <w:rsid w:val="002A4878"/>
    <w:rsid w:val="002D0DE0"/>
    <w:rsid w:val="002D7C0E"/>
    <w:rsid w:val="002D7EBC"/>
    <w:rsid w:val="002E7630"/>
    <w:rsid w:val="00340F0A"/>
    <w:rsid w:val="0034395D"/>
    <w:rsid w:val="003511ED"/>
    <w:rsid w:val="00354BB4"/>
    <w:rsid w:val="00357C0D"/>
    <w:rsid w:val="0036056D"/>
    <w:rsid w:val="00371D86"/>
    <w:rsid w:val="003A66F2"/>
    <w:rsid w:val="003A6BC9"/>
    <w:rsid w:val="003D0678"/>
    <w:rsid w:val="003E646A"/>
    <w:rsid w:val="00403888"/>
    <w:rsid w:val="00411482"/>
    <w:rsid w:val="004179FA"/>
    <w:rsid w:val="00421E3B"/>
    <w:rsid w:val="00424473"/>
    <w:rsid w:val="00434D52"/>
    <w:rsid w:val="0044081F"/>
    <w:rsid w:val="00444438"/>
    <w:rsid w:val="00454B34"/>
    <w:rsid w:val="00455659"/>
    <w:rsid w:val="0046690B"/>
    <w:rsid w:val="004745A0"/>
    <w:rsid w:val="00497008"/>
    <w:rsid w:val="004A43A1"/>
    <w:rsid w:val="004B3F2C"/>
    <w:rsid w:val="004C3AE3"/>
    <w:rsid w:val="004D7413"/>
    <w:rsid w:val="004E443B"/>
    <w:rsid w:val="004F4D2B"/>
    <w:rsid w:val="004F5C23"/>
    <w:rsid w:val="004F63B5"/>
    <w:rsid w:val="004F6C3A"/>
    <w:rsid w:val="004F7216"/>
    <w:rsid w:val="004F7E3E"/>
    <w:rsid w:val="00513BBB"/>
    <w:rsid w:val="00514A1C"/>
    <w:rsid w:val="005560F2"/>
    <w:rsid w:val="005778B4"/>
    <w:rsid w:val="00596C59"/>
    <w:rsid w:val="005A2410"/>
    <w:rsid w:val="005A2A7B"/>
    <w:rsid w:val="005A5D3D"/>
    <w:rsid w:val="005D4500"/>
    <w:rsid w:val="005E09F1"/>
    <w:rsid w:val="005E295F"/>
    <w:rsid w:val="005E46F9"/>
    <w:rsid w:val="005F64B5"/>
    <w:rsid w:val="005F7192"/>
    <w:rsid w:val="0060194D"/>
    <w:rsid w:val="00627000"/>
    <w:rsid w:val="006302D2"/>
    <w:rsid w:val="00646FDA"/>
    <w:rsid w:val="006505DD"/>
    <w:rsid w:val="00656427"/>
    <w:rsid w:val="00672203"/>
    <w:rsid w:val="006D2718"/>
    <w:rsid w:val="006D6942"/>
    <w:rsid w:val="006D6D05"/>
    <w:rsid w:val="006E0105"/>
    <w:rsid w:val="006E381A"/>
    <w:rsid w:val="006E48DD"/>
    <w:rsid w:val="006E7692"/>
    <w:rsid w:val="006F13B7"/>
    <w:rsid w:val="007001D4"/>
    <w:rsid w:val="0071125B"/>
    <w:rsid w:val="007137AF"/>
    <w:rsid w:val="007231E3"/>
    <w:rsid w:val="0072388B"/>
    <w:rsid w:val="007257C5"/>
    <w:rsid w:val="00726D77"/>
    <w:rsid w:val="00730B41"/>
    <w:rsid w:val="00765C58"/>
    <w:rsid w:val="00767D99"/>
    <w:rsid w:val="00772C20"/>
    <w:rsid w:val="00782F37"/>
    <w:rsid w:val="00782F8A"/>
    <w:rsid w:val="00783C9E"/>
    <w:rsid w:val="0078499F"/>
    <w:rsid w:val="00784DFA"/>
    <w:rsid w:val="00794C83"/>
    <w:rsid w:val="00795A1B"/>
    <w:rsid w:val="007A1EBF"/>
    <w:rsid w:val="007A6825"/>
    <w:rsid w:val="007B1E7F"/>
    <w:rsid w:val="007D396F"/>
    <w:rsid w:val="007E03FF"/>
    <w:rsid w:val="00824D97"/>
    <w:rsid w:val="008333FD"/>
    <w:rsid w:val="00842C14"/>
    <w:rsid w:val="008A3248"/>
    <w:rsid w:val="008B0092"/>
    <w:rsid w:val="008B1B64"/>
    <w:rsid w:val="008B6A66"/>
    <w:rsid w:val="008E085E"/>
    <w:rsid w:val="008F7D75"/>
    <w:rsid w:val="0090497F"/>
    <w:rsid w:val="00907C7E"/>
    <w:rsid w:val="00927096"/>
    <w:rsid w:val="0095668C"/>
    <w:rsid w:val="00972BEE"/>
    <w:rsid w:val="0098119C"/>
    <w:rsid w:val="00985A2D"/>
    <w:rsid w:val="00990509"/>
    <w:rsid w:val="009C269A"/>
    <w:rsid w:val="009D637D"/>
    <w:rsid w:val="009E77AE"/>
    <w:rsid w:val="00A128B3"/>
    <w:rsid w:val="00A21E93"/>
    <w:rsid w:val="00A258A0"/>
    <w:rsid w:val="00A32D96"/>
    <w:rsid w:val="00A43309"/>
    <w:rsid w:val="00A610FF"/>
    <w:rsid w:val="00A76D35"/>
    <w:rsid w:val="00A87059"/>
    <w:rsid w:val="00AA318B"/>
    <w:rsid w:val="00AA413C"/>
    <w:rsid w:val="00AB0877"/>
    <w:rsid w:val="00AB34A7"/>
    <w:rsid w:val="00AC0020"/>
    <w:rsid w:val="00AC0F10"/>
    <w:rsid w:val="00AC7985"/>
    <w:rsid w:val="00AD7F63"/>
    <w:rsid w:val="00AE59CB"/>
    <w:rsid w:val="00B0073A"/>
    <w:rsid w:val="00B05F29"/>
    <w:rsid w:val="00B1323E"/>
    <w:rsid w:val="00B14BA4"/>
    <w:rsid w:val="00B14DCE"/>
    <w:rsid w:val="00B349A6"/>
    <w:rsid w:val="00B37F56"/>
    <w:rsid w:val="00B64CAC"/>
    <w:rsid w:val="00B856D4"/>
    <w:rsid w:val="00B917DD"/>
    <w:rsid w:val="00BA2D6D"/>
    <w:rsid w:val="00BA5930"/>
    <w:rsid w:val="00BA7AE7"/>
    <w:rsid w:val="00BB10C0"/>
    <w:rsid w:val="00BC0B07"/>
    <w:rsid w:val="00BC77AA"/>
    <w:rsid w:val="00BD285D"/>
    <w:rsid w:val="00BF13C7"/>
    <w:rsid w:val="00C07F55"/>
    <w:rsid w:val="00C372AB"/>
    <w:rsid w:val="00C564B7"/>
    <w:rsid w:val="00C6506A"/>
    <w:rsid w:val="00C72FAD"/>
    <w:rsid w:val="00C77F1A"/>
    <w:rsid w:val="00C902E9"/>
    <w:rsid w:val="00C947FB"/>
    <w:rsid w:val="00C94932"/>
    <w:rsid w:val="00CA04EA"/>
    <w:rsid w:val="00CA5DA7"/>
    <w:rsid w:val="00CC0DAE"/>
    <w:rsid w:val="00CD6E80"/>
    <w:rsid w:val="00CF27D7"/>
    <w:rsid w:val="00D22C7E"/>
    <w:rsid w:val="00D316F5"/>
    <w:rsid w:val="00D342DE"/>
    <w:rsid w:val="00D4454B"/>
    <w:rsid w:val="00D51999"/>
    <w:rsid w:val="00D612A4"/>
    <w:rsid w:val="00D668C1"/>
    <w:rsid w:val="00D74E52"/>
    <w:rsid w:val="00D96A8E"/>
    <w:rsid w:val="00DA2DE7"/>
    <w:rsid w:val="00DA659F"/>
    <w:rsid w:val="00DB08EA"/>
    <w:rsid w:val="00DC14B1"/>
    <w:rsid w:val="00DD1461"/>
    <w:rsid w:val="00DD67C0"/>
    <w:rsid w:val="00DD6B52"/>
    <w:rsid w:val="00DF72CC"/>
    <w:rsid w:val="00E12BED"/>
    <w:rsid w:val="00E1613F"/>
    <w:rsid w:val="00E300DF"/>
    <w:rsid w:val="00E37BCF"/>
    <w:rsid w:val="00E45EA2"/>
    <w:rsid w:val="00E725DF"/>
    <w:rsid w:val="00E7497A"/>
    <w:rsid w:val="00E82E2E"/>
    <w:rsid w:val="00E91101"/>
    <w:rsid w:val="00E91604"/>
    <w:rsid w:val="00E97299"/>
    <w:rsid w:val="00EA3303"/>
    <w:rsid w:val="00EB6E90"/>
    <w:rsid w:val="00EC6024"/>
    <w:rsid w:val="00ED265E"/>
    <w:rsid w:val="00EF3620"/>
    <w:rsid w:val="00EF703C"/>
    <w:rsid w:val="00F14591"/>
    <w:rsid w:val="00F16C39"/>
    <w:rsid w:val="00F16F5A"/>
    <w:rsid w:val="00F25B1A"/>
    <w:rsid w:val="00F32BE6"/>
    <w:rsid w:val="00F451CE"/>
    <w:rsid w:val="00F47163"/>
    <w:rsid w:val="00F5378C"/>
    <w:rsid w:val="00F60FD8"/>
    <w:rsid w:val="00F63C37"/>
    <w:rsid w:val="00F81AAC"/>
    <w:rsid w:val="00F97388"/>
    <w:rsid w:val="00FA7D7E"/>
    <w:rsid w:val="00FC5738"/>
    <w:rsid w:val="00FC6F08"/>
    <w:rsid w:val="00FC7498"/>
    <w:rsid w:val="00FE2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4F9F4BD-5105-4923-BE3D-035A7189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2E2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2E2E"/>
    <w:pPr>
      <w:tabs>
        <w:tab w:val="center" w:pos="4320"/>
        <w:tab w:val="right" w:pos="8640"/>
      </w:tabs>
    </w:pPr>
  </w:style>
  <w:style w:type="paragraph" w:styleId="Footer">
    <w:name w:val="footer"/>
    <w:basedOn w:val="Normal"/>
    <w:rsid w:val="00E82E2E"/>
    <w:pPr>
      <w:tabs>
        <w:tab w:val="center" w:pos="4320"/>
        <w:tab w:val="right" w:pos="8640"/>
      </w:tabs>
    </w:pPr>
  </w:style>
  <w:style w:type="character" w:styleId="PageNumber">
    <w:name w:val="page number"/>
    <w:basedOn w:val="DefaultParagraphFont"/>
    <w:rsid w:val="00E82E2E"/>
  </w:style>
  <w:style w:type="paragraph" w:styleId="BalloonText">
    <w:name w:val="Balloon Text"/>
    <w:basedOn w:val="Normal"/>
    <w:semiHidden/>
    <w:rsid w:val="00FC5738"/>
    <w:rPr>
      <w:rFonts w:ascii="Tahoma" w:hAnsi="Tahoma" w:cs="Tahoma"/>
      <w:sz w:val="16"/>
      <w:szCs w:val="16"/>
    </w:rPr>
  </w:style>
  <w:style w:type="paragraph" w:styleId="BodyText">
    <w:name w:val="Body Text"/>
    <w:basedOn w:val="Normal"/>
    <w:rsid w:val="00D316F5"/>
    <w:pPr>
      <w:widowControl w:val="0"/>
      <w:adjustRightInd w:val="0"/>
      <w:spacing w:line="360" w:lineRule="atLeast"/>
      <w:ind w:right="43"/>
      <w:jc w:val="both"/>
      <w:textAlignment w:val="baseline"/>
    </w:pPr>
    <w:rPr>
      <w:sz w:val="23"/>
      <w:szCs w:val="20"/>
    </w:rPr>
  </w:style>
  <w:style w:type="paragraph" w:styleId="CommentText">
    <w:name w:val="annotation text"/>
    <w:basedOn w:val="Normal"/>
    <w:semiHidden/>
    <w:rsid w:val="00D316F5"/>
    <w:pPr>
      <w:widowControl w:val="0"/>
      <w:adjustRightInd w:val="0"/>
      <w:spacing w:line="360" w:lineRule="atLeast"/>
      <w:jc w:val="both"/>
      <w:textAlignment w:val="baseline"/>
    </w:pPr>
    <w:rPr>
      <w:sz w:val="20"/>
      <w:szCs w:val="20"/>
    </w:rPr>
  </w:style>
  <w:style w:type="character" w:styleId="CommentReference">
    <w:name w:val="annotation reference"/>
    <w:basedOn w:val="DefaultParagraphFont"/>
    <w:semiHidden/>
    <w:rsid w:val="00D316F5"/>
    <w:rPr>
      <w:sz w:val="16"/>
      <w:szCs w:val="16"/>
    </w:rPr>
  </w:style>
  <w:style w:type="paragraph" w:styleId="CommentSubject">
    <w:name w:val="annotation subject"/>
    <w:basedOn w:val="CommentText"/>
    <w:next w:val="CommentText"/>
    <w:semiHidden/>
    <w:rsid w:val="00F60FD8"/>
    <w:pPr>
      <w:widowControl/>
      <w:adjustRightInd/>
      <w:spacing w:line="240" w:lineRule="auto"/>
      <w:jc w:val="left"/>
      <w:textAlignment w:val="auto"/>
    </w:pPr>
    <w:rPr>
      <w:b/>
      <w:bCs/>
    </w:rPr>
  </w:style>
  <w:style w:type="paragraph" w:styleId="ListParagraph">
    <w:name w:val="List Paragraph"/>
    <w:basedOn w:val="Normal"/>
    <w:uiPriority w:val="34"/>
    <w:qFormat/>
    <w:rsid w:val="00927096"/>
    <w:pPr>
      <w:ind w:left="720"/>
    </w:pPr>
  </w:style>
  <w:style w:type="character" w:styleId="Hyperlink">
    <w:name w:val="Hyperlink"/>
    <w:basedOn w:val="DefaultParagraphFont"/>
    <w:uiPriority w:val="99"/>
    <w:unhideWhenUsed/>
    <w:rsid w:val="007001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020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5D6F7-946B-469F-905A-CAC97BD5E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1348</Words>
  <Characters>7690</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1</vt:lpstr>
    </vt:vector>
  </TitlesOfParts>
  <Company>PHFA</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Evans</dc:creator>
  <cp:lastModifiedBy>Christian Robin</cp:lastModifiedBy>
  <cp:revision>2</cp:revision>
  <cp:lastPrinted>2018-02-08T21:48:00Z</cp:lastPrinted>
  <dcterms:created xsi:type="dcterms:W3CDTF">2018-02-14T20:28:00Z</dcterms:created>
  <dcterms:modified xsi:type="dcterms:W3CDTF">2018-02-14T20:28:00Z</dcterms:modified>
</cp:coreProperties>
</file>