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1A" w:rsidRDefault="00861868" w:rsidP="0048631A">
      <w:pPr>
        <w:rPr>
          <w:b/>
          <w:bCs/>
          <w:lang w:val="en"/>
        </w:rPr>
      </w:pPr>
      <w:r>
        <w:rPr>
          <w:b/>
          <w:bCs/>
          <w:lang w:val="en"/>
        </w:rPr>
        <w:t>National Housing &amp; Rehabilitation Association</w:t>
      </w:r>
    </w:p>
    <w:p w:rsidR="0048631A" w:rsidRDefault="00861868" w:rsidP="0048631A">
      <w:pPr>
        <w:rPr>
          <w:b/>
          <w:bCs/>
          <w:lang w:val="en"/>
        </w:rPr>
      </w:pPr>
      <w:r>
        <w:rPr>
          <w:b/>
          <w:bCs/>
          <w:lang w:val="en"/>
        </w:rPr>
        <w:t xml:space="preserve">Asset Management Conference, Grand </w:t>
      </w:r>
      <w:r w:rsidR="0048631A">
        <w:rPr>
          <w:b/>
          <w:bCs/>
          <w:lang w:val="en"/>
        </w:rPr>
        <w:t>Hotel</w:t>
      </w:r>
      <w:r>
        <w:rPr>
          <w:b/>
          <w:bCs/>
          <w:lang w:val="en"/>
        </w:rPr>
        <w:t xml:space="preserve"> Minneapolis</w:t>
      </w:r>
    </w:p>
    <w:p w:rsidR="0048631A" w:rsidRDefault="0048631A" w:rsidP="0048631A">
      <w:pPr>
        <w:rPr>
          <w:b/>
          <w:bCs/>
          <w:lang w:val="en"/>
        </w:rPr>
      </w:pPr>
    </w:p>
    <w:p w:rsidR="0048631A" w:rsidRDefault="00861868" w:rsidP="0048631A">
      <w:pPr>
        <w:rPr>
          <w:b/>
          <w:bCs/>
          <w:lang w:val="en"/>
        </w:rPr>
      </w:pPr>
      <w:r>
        <w:rPr>
          <w:b/>
          <w:bCs/>
          <w:lang w:val="en"/>
        </w:rPr>
        <w:t xml:space="preserve">June 4, 2019, </w:t>
      </w:r>
      <w:r w:rsidR="00E1727E">
        <w:rPr>
          <w:b/>
          <w:bCs/>
          <w:lang w:val="en"/>
        </w:rPr>
        <w:t>1</w:t>
      </w:r>
      <w:r>
        <w:rPr>
          <w:b/>
          <w:bCs/>
          <w:lang w:val="en"/>
        </w:rPr>
        <w:t>0</w:t>
      </w:r>
      <w:r w:rsidR="0048631A">
        <w:rPr>
          <w:b/>
          <w:bCs/>
          <w:lang w:val="en"/>
        </w:rPr>
        <w:t>:</w:t>
      </w:r>
      <w:r>
        <w:rPr>
          <w:b/>
          <w:bCs/>
          <w:lang w:val="en"/>
        </w:rPr>
        <w:t>4</w:t>
      </w:r>
      <w:r w:rsidR="00E1727E">
        <w:rPr>
          <w:b/>
          <w:bCs/>
          <w:lang w:val="en"/>
        </w:rPr>
        <w:t>5</w:t>
      </w:r>
      <w:r>
        <w:rPr>
          <w:b/>
          <w:bCs/>
          <w:lang w:val="en"/>
        </w:rPr>
        <w:t>am:  Managing Your Management Company: Supervising the Internal and Third Party Inspections.</w:t>
      </w:r>
    </w:p>
    <w:p w:rsidR="0048631A" w:rsidRDefault="0048631A" w:rsidP="0048631A">
      <w:pPr>
        <w:rPr>
          <w:b/>
          <w:bCs/>
          <w:lang w:val="en"/>
        </w:rPr>
      </w:pPr>
    </w:p>
    <w:p w:rsidR="0048631A" w:rsidRDefault="005116F0" w:rsidP="00861868">
      <w:pPr>
        <w:rPr>
          <w:lang w:val="en"/>
        </w:rPr>
      </w:pPr>
      <w:r>
        <w:rPr>
          <w:b/>
          <w:bCs/>
          <w:lang w:val="en"/>
        </w:rPr>
        <w:t>Nat</w:t>
      </w:r>
      <w:bookmarkStart w:id="0" w:name="_GoBack"/>
      <w:bookmarkEnd w:id="0"/>
      <w:r>
        <w:rPr>
          <w:b/>
          <w:bCs/>
          <w:lang w:val="en"/>
        </w:rPr>
        <w:t>e Cushman</w:t>
      </w:r>
      <w:r w:rsidR="0048631A">
        <w:rPr>
          <w:b/>
          <w:bCs/>
          <w:lang w:val="en"/>
        </w:rPr>
        <w:t xml:space="preserve">, </w:t>
      </w:r>
      <w:r w:rsidR="0048631A">
        <w:rPr>
          <w:lang w:val="en"/>
        </w:rPr>
        <w:t xml:space="preserve">Partner, Nixon Peabody LLP </w:t>
      </w:r>
    </w:p>
    <w:p w:rsidR="00861868" w:rsidRDefault="00861868" w:rsidP="00861868">
      <w:pPr>
        <w:rPr>
          <w:lang w:val="en"/>
        </w:rPr>
      </w:pPr>
    </w:p>
    <w:p w:rsidR="00861868" w:rsidRDefault="00A07772" w:rsidP="00861868">
      <w:pPr>
        <w:pStyle w:val="ListParagraph"/>
        <w:numPr>
          <w:ilvl w:val="0"/>
          <w:numId w:val="1"/>
        </w:numPr>
        <w:spacing w:after="240"/>
        <w:contextualSpacing w:val="0"/>
      </w:pPr>
      <w:r>
        <w:t>HUD Notice 2018-18--</w:t>
      </w:r>
      <w:r w:rsidR="00861868">
        <w:t xml:space="preserve">Renewed HUD focus on physical and financial compliance and how to report it on the 2530 form and Active Partners Performance System (APPs).  </w:t>
      </w:r>
      <w:r w:rsidR="00861868" w:rsidRPr="00E1727E">
        <w:rPr>
          <w:b/>
          <w:i/>
        </w:rPr>
        <w:t>It</w:t>
      </w:r>
      <w:r w:rsidR="00861868">
        <w:rPr>
          <w:b/>
          <w:i/>
        </w:rPr>
        <w:t>’</w:t>
      </w:r>
      <w:r w:rsidR="00861868" w:rsidRPr="00E1727E">
        <w:rPr>
          <w:b/>
          <w:i/>
        </w:rPr>
        <w:t>s all new again with HUD’s one-strike policy.</w:t>
      </w:r>
    </w:p>
    <w:p w:rsidR="00861868" w:rsidRDefault="00861868" w:rsidP="00861868">
      <w:pPr>
        <w:pStyle w:val="ListParagraph"/>
        <w:numPr>
          <w:ilvl w:val="0"/>
          <w:numId w:val="1"/>
        </w:numPr>
        <w:spacing w:after="240"/>
        <w:contextualSpacing w:val="0"/>
      </w:pPr>
      <w:r>
        <w:t>Updates on HUD’s REAC Compilation Bulletin—It’s Tough but Not Bleak—Strategies to Get out in Front.</w:t>
      </w:r>
    </w:p>
    <w:p w:rsidR="00861868" w:rsidRDefault="00861868" w:rsidP="00861868">
      <w:pPr>
        <w:pStyle w:val="ListParagraph"/>
        <w:numPr>
          <w:ilvl w:val="1"/>
          <w:numId w:val="1"/>
        </w:numPr>
      </w:pPr>
      <w:r>
        <w:t xml:space="preserve">96% </w:t>
      </w:r>
      <w:r w:rsidR="00A07772">
        <w:t xml:space="preserve">(or so) </w:t>
      </w:r>
      <w:r>
        <w:t>pass</w:t>
      </w:r>
      <w:r w:rsidR="00A07772">
        <w:t xml:space="preserve"> </w:t>
      </w:r>
    </w:p>
    <w:p w:rsidR="00861868" w:rsidRDefault="00A07772" w:rsidP="00861868">
      <w:pPr>
        <w:pStyle w:val="ListParagraph"/>
        <w:numPr>
          <w:ilvl w:val="1"/>
          <w:numId w:val="1"/>
        </w:numPr>
      </w:pPr>
      <w:r>
        <w:t>A</w:t>
      </w:r>
      <w:r w:rsidR="00861868">
        <w:t>verage score</w:t>
      </w:r>
      <w:r>
        <w:t xml:space="preserve"> declining but still in the 80s.</w:t>
      </w:r>
    </w:p>
    <w:p w:rsidR="00A07772" w:rsidRDefault="00A07772" w:rsidP="00994A0B">
      <w:pPr>
        <w:pStyle w:val="ListParagraph"/>
        <w:numPr>
          <w:ilvl w:val="1"/>
          <w:numId w:val="1"/>
        </w:numPr>
      </w:pPr>
      <w:r>
        <w:t xml:space="preserve">Good news, </w:t>
      </w:r>
      <w:r w:rsidR="00861868">
        <w:t xml:space="preserve">few below 30s, </w:t>
      </w:r>
      <w:r>
        <w:t>bad news, when it happens HUD tends to react very badly.</w:t>
      </w:r>
    </w:p>
    <w:p w:rsidR="00861868" w:rsidRDefault="00A07772" w:rsidP="00994A0B">
      <w:pPr>
        <w:pStyle w:val="ListParagraph"/>
        <w:numPr>
          <w:ilvl w:val="1"/>
          <w:numId w:val="1"/>
        </w:numPr>
      </w:pPr>
      <w:r>
        <w:t>Use</w:t>
      </w:r>
      <w:r w:rsidR="00861868">
        <w:t xml:space="preserve"> “industry standard”</w:t>
      </w:r>
    </w:p>
    <w:p w:rsidR="00861868" w:rsidRDefault="00861868" w:rsidP="00861868">
      <w:pPr>
        <w:pStyle w:val="ListParagraph"/>
        <w:numPr>
          <w:ilvl w:val="1"/>
          <w:numId w:val="1"/>
        </w:numPr>
      </w:pPr>
      <w:r>
        <w:t>Bedbug units will be inspected</w:t>
      </w:r>
    </w:p>
    <w:p w:rsidR="00861868" w:rsidRDefault="00861868" w:rsidP="00861868">
      <w:pPr>
        <w:pStyle w:val="ListParagraph"/>
        <w:numPr>
          <w:ilvl w:val="1"/>
          <w:numId w:val="1"/>
        </w:numPr>
      </w:pPr>
      <w:r>
        <w:t>Lead Paint, fair housing accessibility will be noted</w:t>
      </w:r>
      <w:r w:rsidR="00A07772">
        <w:t xml:space="preserve"> and being used.</w:t>
      </w:r>
    </w:p>
    <w:p w:rsidR="00861868" w:rsidRDefault="00861868" w:rsidP="00861868">
      <w:pPr>
        <w:pStyle w:val="ListParagraph"/>
        <w:ind w:left="1080"/>
      </w:pPr>
    </w:p>
    <w:p w:rsidR="00861868" w:rsidRDefault="00861868" w:rsidP="00861868">
      <w:pPr>
        <w:pStyle w:val="ListParagraph"/>
        <w:keepNext/>
        <w:keepLines/>
        <w:numPr>
          <w:ilvl w:val="0"/>
          <w:numId w:val="1"/>
        </w:numPr>
        <w:spacing w:after="240"/>
        <w:contextualSpacing w:val="0"/>
      </w:pPr>
      <w:r>
        <w:t>Strategies to help anticipate issues and increase compliance</w:t>
      </w:r>
    </w:p>
    <w:p w:rsidR="00861868" w:rsidRDefault="00A07772" w:rsidP="00861868">
      <w:pPr>
        <w:pStyle w:val="ListParagraph"/>
        <w:keepNext/>
        <w:keepLines/>
        <w:numPr>
          <w:ilvl w:val="1"/>
          <w:numId w:val="1"/>
        </w:numPr>
        <w:contextualSpacing w:val="0"/>
      </w:pPr>
      <w:r>
        <w:t xml:space="preserve">MORs: </w:t>
      </w:r>
      <w:r w:rsidR="00861868">
        <w:t>pass, ap</w:t>
      </w:r>
      <w:r>
        <w:t>peal or clearance letter</w:t>
      </w:r>
    </w:p>
    <w:p w:rsidR="00861868" w:rsidRDefault="00A07772" w:rsidP="00861868">
      <w:pPr>
        <w:pStyle w:val="ListParagraph"/>
        <w:keepNext/>
        <w:keepLines/>
        <w:numPr>
          <w:ilvl w:val="1"/>
          <w:numId w:val="1"/>
        </w:numPr>
        <w:contextualSpacing w:val="0"/>
      </w:pPr>
      <w:r>
        <w:t>C</w:t>
      </w:r>
      <w:r w:rsidR="00861868">
        <w:t>urb appeal issues on REAC</w:t>
      </w:r>
    </w:p>
    <w:p w:rsidR="00861868" w:rsidRDefault="00A07772" w:rsidP="00861868">
      <w:pPr>
        <w:pStyle w:val="ListParagraph"/>
        <w:keepNext/>
        <w:keepLines/>
        <w:numPr>
          <w:ilvl w:val="1"/>
          <w:numId w:val="1"/>
        </w:numPr>
        <w:contextualSpacing w:val="0"/>
      </w:pPr>
      <w:r>
        <w:t>T</w:t>
      </w:r>
      <w:r w:rsidR="00861868">
        <w:t>imely audit</w:t>
      </w:r>
    </w:p>
    <w:p w:rsidR="00861868" w:rsidRDefault="00861868" w:rsidP="00861868"/>
    <w:p w:rsidR="00861868" w:rsidRDefault="00861868" w:rsidP="00861868">
      <w:pPr>
        <w:pStyle w:val="ListParagraph"/>
        <w:numPr>
          <w:ilvl w:val="0"/>
          <w:numId w:val="1"/>
        </w:numPr>
      </w:pPr>
      <w:r>
        <w:t>Other Financial issues</w:t>
      </w:r>
      <w:r w:rsidR="00206E8E">
        <w:t>, such as</w:t>
      </w:r>
      <w:r>
        <w:t xml:space="preserve"> Enterprise Income Verification (EIV) and financial audit compliance</w:t>
      </w:r>
      <w:r w:rsidR="00206E8E">
        <w:t>-</w:t>
      </w:r>
    </w:p>
    <w:p w:rsidR="00861868" w:rsidRDefault="00861868" w:rsidP="00861868">
      <w:pPr>
        <w:pStyle w:val="ListParagraph"/>
        <w:numPr>
          <w:ilvl w:val="1"/>
          <w:numId w:val="1"/>
        </w:numPr>
      </w:pPr>
      <w:r>
        <w:t>Five percent penalty</w:t>
      </w:r>
    </w:p>
    <w:p w:rsidR="00861868" w:rsidRDefault="00861868" w:rsidP="00861868">
      <w:pPr>
        <w:pStyle w:val="ListParagraph"/>
        <w:numPr>
          <w:ilvl w:val="1"/>
          <w:numId w:val="1"/>
        </w:numPr>
      </w:pPr>
      <w:r>
        <w:t>Other penalties including flags</w:t>
      </w:r>
    </w:p>
    <w:p w:rsidR="0048631A" w:rsidRDefault="0048631A" w:rsidP="0048631A">
      <w:pPr>
        <w:rPr>
          <w:b/>
          <w:bCs/>
          <w:lang w:val="en"/>
        </w:rPr>
      </w:pPr>
    </w:p>
    <w:p w:rsidR="00E1727E" w:rsidRDefault="00A07772" w:rsidP="00EE4DCA">
      <w:pPr>
        <w:pStyle w:val="ListParagraph"/>
        <w:numPr>
          <w:ilvl w:val="0"/>
          <w:numId w:val="1"/>
        </w:numPr>
        <w:spacing w:after="240"/>
        <w:contextualSpacing w:val="0"/>
      </w:pPr>
      <w:r>
        <w:t>HUD still interpreting the</w:t>
      </w:r>
      <w:r w:rsidR="00206E8E">
        <w:t xml:space="preserve"> 2016 </w:t>
      </w:r>
      <w:r w:rsidR="00E1727E">
        <w:t xml:space="preserve">Previous Participation/APPs/2530 </w:t>
      </w:r>
      <w:r w:rsidR="00206E8E">
        <w:t>r</w:t>
      </w:r>
      <w:r w:rsidR="00E1727E">
        <w:t>egulations</w:t>
      </w:r>
      <w:r w:rsidR="00206E8E">
        <w:t xml:space="preserve"> and guidance. </w:t>
      </w:r>
    </w:p>
    <w:p w:rsidR="006A2D83" w:rsidRDefault="00206E8E" w:rsidP="0041245F">
      <w:pPr>
        <w:pStyle w:val="ListParagraph"/>
        <w:numPr>
          <w:ilvl w:val="1"/>
          <w:numId w:val="1"/>
        </w:numPr>
        <w:contextualSpacing w:val="0"/>
      </w:pPr>
      <w:r>
        <w:t xml:space="preserve">Focus is </w:t>
      </w:r>
      <w:r w:rsidR="00B57B7B">
        <w:t>on “controlling participant”</w:t>
      </w:r>
    </w:p>
    <w:p w:rsidR="00B57B7B" w:rsidRDefault="00206E8E" w:rsidP="00CE7BA6">
      <w:pPr>
        <w:pStyle w:val="ListParagraph"/>
        <w:numPr>
          <w:ilvl w:val="1"/>
          <w:numId w:val="1"/>
        </w:numPr>
        <w:spacing w:after="240"/>
        <w:contextualSpacing w:val="0"/>
      </w:pPr>
      <w:r>
        <w:t>Sharpened focus on “risk”</w:t>
      </w:r>
      <w:r w:rsidR="00B57B7B">
        <w:t xml:space="preserve"> </w:t>
      </w:r>
    </w:p>
    <w:p w:rsidR="00E1727E" w:rsidRDefault="00E1727E" w:rsidP="0041245F">
      <w:pPr>
        <w:pStyle w:val="ListParagraph"/>
        <w:numPr>
          <w:ilvl w:val="0"/>
          <w:numId w:val="1"/>
        </w:numPr>
        <w:spacing w:after="240"/>
        <w:contextualSpacing w:val="0"/>
      </w:pPr>
      <w:r>
        <w:t>Flags</w:t>
      </w:r>
    </w:p>
    <w:p w:rsidR="00E1727E" w:rsidRDefault="00E1727E" w:rsidP="0041245F">
      <w:pPr>
        <w:pStyle w:val="ListParagraph"/>
        <w:numPr>
          <w:ilvl w:val="1"/>
          <w:numId w:val="1"/>
        </w:numPr>
        <w:contextualSpacing w:val="0"/>
      </w:pPr>
      <w:r>
        <w:t>Will a flag come with a notice of default?</w:t>
      </w:r>
    </w:p>
    <w:p w:rsidR="00E1727E" w:rsidRDefault="00E1727E" w:rsidP="0041245F">
      <w:pPr>
        <w:pStyle w:val="ListParagraph"/>
        <w:numPr>
          <w:ilvl w:val="1"/>
          <w:numId w:val="1"/>
        </w:numPr>
        <w:contextualSpacing w:val="0"/>
      </w:pPr>
      <w:r>
        <w:t>Strategies for dealing with triggers in financing documents</w:t>
      </w:r>
    </w:p>
    <w:p w:rsidR="00E1727E" w:rsidRDefault="00E1727E" w:rsidP="0041245F">
      <w:pPr>
        <w:pStyle w:val="ListParagraph"/>
        <w:numPr>
          <w:ilvl w:val="1"/>
          <w:numId w:val="1"/>
        </w:numPr>
        <w:spacing w:after="240"/>
        <w:contextualSpacing w:val="0"/>
      </w:pPr>
      <w:r>
        <w:t>Three kinds of flags—temporary, 5 year, permanent</w:t>
      </w:r>
    </w:p>
    <w:sectPr w:rsidR="00E1727E" w:rsidSect="006738C3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A7" w:rsidRDefault="00BE6AA7" w:rsidP="00027EC3">
      <w:r>
        <w:separator/>
      </w:r>
    </w:p>
  </w:endnote>
  <w:endnote w:type="continuationSeparator" w:id="0">
    <w:p w:rsidR="00BE6AA7" w:rsidRDefault="00BE6AA7" w:rsidP="000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F" w:rsidRDefault="005116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314325"/>
              <wp:effectExtent l="0" t="0" r="1143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F2F" w:rsidRDefault="00225F2F">
                          <w:pPr>
                            <w:pStyle w:val="MacPacTrailer"/>
                          </w:pPr>
                          <w:r>
                            <w:t>4811-5178-5549.1</w:t>
                          </w:r>
                        </w:p>
                        <w:p w:rsidR="00225F2F" w:rsidRDefault="00225F2F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01.6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4Z3FrAIAAKkFAAAOAAAAZHJzL2Uyb0RvYy54bWysVG1vmzAQ/j5p/8Hyd8pLSBpQSdWGME3q XqR2P8ABE6wZm9lOoJv233c2IU1bTZq28cE67PNz99w9vqvroeXoQJVmUmQ4vAgwoqKUFRO7DH95 KLwlRtoQUREuBc3wI9X4evX2zVXfpTSSjeQVVQhAhE77LsONMV3q+7psaEv0heyogMNaqpYY+FU7 v1KkB/SW+1EQLPxeqqpTsqRaw24+HuKVw69rWppPda2pQTzDkJtxq3Lr1q7+6oqkO0W6hpXHNMhf ZNESJiDoCSonhqC9Yq+gWlYqqWVtLkrZ+rKuWUkdB2ATBi/Y3Deko44LFEd3pzLp/wdbfjx8VohV GY4wEqSFFj3QwaBbOaDIVqfvdApO9x24mQG2ocuOqe7uZPlVIyHXDRE7eqOU7BtKKsgutDf9s6sj jrYg2/6DrCAM2RvpgIZatbZ0UAwE6NClx1NnbColbEbzRTCL4KiEs1kYz6K5C0HS6XantHlHZYus kWEFnXfo5HCnjc2GpJOLDSZkwTh33efi2QY4jjsQG67aM5uFa+aPJEg2y80y9uJosfHiIM+9m2Id e4sivJzns3y9zsOfNm4Ypw2rKipsmElYYfxnjTtKfJTESVpaclZZOJuSVrvtmit0ICDswn3Hgpy5 +c/TcEUALi8ohVEc3EaJVyyWl15cxHMvuQyWXhAmt8kiiJM4L55TumOC/jsl1Gc4mUMfHZ3fcgvc 95obSVtmYHRw1mZ4eXIiqZXgRlSutYYwPtpnpbDpP5UC2j012gnWanRUqxm2A6BYFW9l9QjSVRKU BSKEeQdGI9V3jHqYHRnW3/ZEUYz4ewHyt4NmMtRkbCeDiBKuZthgNJprMw6kfafYrgHk8YEJeQNP pGZOvU9ZHB8WzANH4ji77MA5/3deTxN29QsAAP//AwBQSwMEFAAGAAgAAAAhACnVynHbAAAABAEA AA8AAABkcnMvZG93bnJldi54bWxMj0FPwzAMhe9I/IfISNxYwoCJlabTNI0TEqIrB45p47XRGqc0 2Vb+PYYLXKxnPeu9z/lq8r044RhdIA23MwUCqQnWUavhvXq+eQQRkyFr+kCo4QsjrIrLi9xkNpyp xNMutYJDKGZGQ5fSkEkZmw69ibMwILG3D6M3idexlXY0Zw73vZwrtZDeOOKGzgy46bA57I5ew/qD yq37fK3fyn3pqmqp6GVx0Pr6alo/gUg4pb9j+MFndCiYqQ5HslH0GviR9DvZu1d3cxA1i+UDyCKX /+GLbwAAAP//AwBQSwECLQAUAAYACAAAACEAtoM4kv4AAADhAQAAEwAAAAAAAAAAAAAAAAAAAAAA W0NvbnRlbnRfVHlwZXNdLnhtbFBLAQItABQABgAIAAAAIQA4/SH/1gAAAJQBAAALAAAAAAAAAAAA AAAAAC8BAABfcmVscy8ucmVsc1BLAQItABQABgAIAAAAIQAY4Z3FrAIAAKkFAAAOAAAAAAAAAAAA AAAAAC4CAABkcnMvZTJvRG9jLnhtbFBLAQItABQABgAIAAAAIQAp1cpx2wAAAAQBAAAPAAAAAAAA AAAAAAAAAAYFAABkcnMvZG93bnJldi54bWxQSwUGAAAAAAQABADzAAAADgYAAAAA " filled="f" stroked="f">
              <v:textbox inset="0,0,0,0">
                <w:txbxContent>
                  <w:p w:rsidR="00225F2F" w:rsidRDefault="00225F2F">
                    <w:pPr>
                      <w:pStyle w:val="MacPacTrailer"/>
                    </w:pPr>
                    <w:r>
                      <w:t>4811-5178-5549.1</w:t>
                    </w:r>
                  </w:p>
                  <w:p w:rsidR="00225F2F" w:rsidRDefault="00225F2F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F" w:rsidRDefault="005116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3562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F2F" w:rsidRDefault="00225F2F">
                          <w:pPr>
                            <w:pStyle w:val="MacPacTrailer"/>
                          </w:pPr>
                          <w:r>
                            <w:t>4811-5178-5549.1</w:t>
                          </w:r>
                        </w:p>
                        <w:p w:rsidR="00225F2F" w:rsidRDefault="00225F2F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1.6pt;height:2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ccYargIAALAFAAAOAAAAZHJzL2Uyb0RvYy54bWysVG1vmzAQ/j5p/8Hyd8pLgAZUUrUhTJO6 F6ndD3DABGtgM9sJdNP++84mpGmrSdM2PqCzfX7unrvHd3U9di06UKmY4Bn2LzyMKC9Fxfguw18e CmeJkdKEV6QVnGb4kSp8vXr75mroUxqIRrQVlQhAuEqHPsON1n3quqpsaEfUhegph8NayI5oWMqd W0kyAHrXuoHnxe4gZNVLUVKlYDefDvHK4tc1LfWnulZUozbDkJu2f2n/W/N3V1ck3UnSN6w8pkH+ IouOMA5BT1A50QTtJXsF1bFSCiVqfVGKzhV1zUpqOQAb33vB5r4hPbVcoDiqP5VJ/T/Y8uPhs0Ss gt5hxEkHLXqgo0a3YkS+qc7QqxSc7ntw0yNsG0/DVPV3ovyqEBfrhvAdvZFSDA0lFWRnb7pnVycc ZUC2wwdRQRiy18ICjbXsDCAUAwE6dOnx1BmTSgmbQRR7iwCOSjhbRHGwiExyLknn271U+h0VHTJG hiV03qKTw53Sk+vsYoJxUbC2td1v+bMNwJx2IDZcNWcmC9vMH4mXbJabZeiEQbxxQi/PnZtiHTpx 4V9G+SJfr3P/p4nrh2nDqopyE2YWlh/+WeOOEp8kcZKWEi2rDJxJScnddt1KdCAg7MJ+x4KcubnP 07D1Ai4vKPlB6N0GiVPEy0snLMLISS69peP5yW0Se2ES5sVzSneM03+nhIYMJ1EQTWL6LTfPfq+5 kbRjGkZHy7oML09OJDUS3PDKtlYT1k72WSlM+k+lgHbPjbaCNRqd1KrH7Xh8GQBmxLwV1SMoWAoQ GGgRxh4YjZDfMRpghGRYfdsTSTFq33N4BWbezIacje1sEF7C1QxrjCZzrae5tO8l2zWAPL0zLm7g pdTMivgpC2BgFjAWLJfjCDNz53xtvZ4G7eoXAAAA//8DAFBLAwQUAAYACAAAACEAdCvne9sAAAAE AQAADwAAAGRycy9kb3ducmV2LnhtbEyPwU7DMBBE70j8g7VI3KjdAhGEOFWF4ISESMOB4ybeJlbj dYjdNvw9hgtcVhrNaOZtsZ7dII40BetZw3KhQBC33ljuNLzXz1d3IEJENjh4Jg1fFGBdnp8VmBt/ 4oqO29iJVMIhRw19jGMuZWh7chgWfiRO3s5PDmOSUyfNhKdU7ga5UiqTDi2nhR5Heuyp3W8PTsPm g6sn+/navFW7ytb1veKXbK/15cW8eQARaY5/YfjBT+hQJqbGH9gEMWhIj8Tfm7wbdb0C0Wi4zZYg y0L+hy+/AQAA//8DAFBLAQItABQABgAIAAAAIQC2gziS/gAAAOEBAAATAAAAAAAAAAAAAAAAAAAA AABbQ29udGVudF9UeXBlc10ueG1sUEsBAi0AFAAGAAgAAAAhADj9If/WAAAAlAEAAAsAAAAAAAAA AAAAAAAALwEAAF9yZWxzLy5yZWxzUEsBAi0AFAAGAAgAAAAhABdxxhquAgAAsAUAAA4AAAAAAAAA AAAAAAAALgIAAGRycy9lMm9Eb2MueG1sUEsBAi0AFAAGAAgAAAAhAHQr53vbAAAABAEAAA8AAAAA AAAAAAAAAAAACAUAAGRycy9kb3ducmV2LnhtbFBLBQYAAAAABAAEAPMAAAAQBgAAAAA= " filled="f" stroked="f">
              <v:textbox inset="0,0,0,0">
                <w:txbxContent>
                  <w:p w:rsidR="00225F2F" w:rsidRDefault="00225F2F">
                    <w:pPr>
                      <w:pStyle w:val="MacPacTrailer"/>
                    </w:pPr>
                    <w:r>
                      <w:t>4811-5178-5549.1</w:t>
                    </w:r>
                  </w:p>
                  <w:p w:rsidR="00225F2F" w:rsidRDefault="00225F2F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A7" w:rsidRDefault="00BE6AA7" w:rsidP="00027EC3">
      <w:r>
        <w:separator/>
      </w:r>
    </w:p>
  </w:footnote>
  <w:footnote w:type="continuationSeparator" w:id="0">
    <w:p w:rsidR="00BE6AA7" w:rsidRPr="00AF7D7B" w:rsidRDefault="00BE6AA7" w:rsidP="00AF7D7B">
      <w:pPr>
        <w:pStyle w:val="Footer"/>
      </w:pPr>
    </w:p>
  </w:footnote>
  <w:footnote w:type="continuationNotice" w:id="1">
    <w:p w:rsidR="00BE6AA7" w:rsidRPr="00027EC3" w:rsidRDefault="00BE6AA7">
      <w:pPr>
        <w:rPr>
          <w:rFonts w:eastAsia="Times New Roman"/>
          <w:i/>
          <w:sz w:val="16"/>
          <w:szCs w:val="16"/>
        </w:rPr>
      </w:pPr>
      <w:r w:rsidRPr="00027EC3">
        <w:rPr>
          <w:rFonts w:eastAsia="Times New Roman"/>
          <w:i/>
          <w:sz w:val="16"/>
          <w:szCs w:val="16"/>
        </w:rPr>
        <w:t>(Footnote continued on next page)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5F" w:rsidRDefault="0041245F" w:rsidP="0041245F">
    <w:pPr>
      <w:rPr>
        <w:b/>
        <w:bCs/>
        <w:lang w:val="en"/>
      </w:rPr>
    </w:pPr>
    <w:r>
      <w:rPr>
        <w:b/>
        <w:bCs/>
        <w:lang w:val="en"/>
      </w:rPr>
      <w:t>REACs, Flags and 2530s: Strategies to Keep Your Deal Moving Forward</w:t>
    </w:r>
  </w:p>
  <w:p w:rsidR="006738C3" w:rsidRDefault="006738C3" w:rsidP="006738C3">
    <w:pPr>
      <w:rPr>
        <w:b/>
        <w:bCs/>
        <w:lang w:val="en"/>
      </w:rPr>
    </w:pPr>
    <w:r>
      <w:rPr>
        <w:b/>
        <w:bCs/>
        <w:lang w:val="en"/>
      </w:rPr>
      <w:t xml:space="preserve">PAGE </w:t>
    </w:r>
    <w:r w:rsidRPr="006738C3">
      <w:rPr>
        <w:b/>
        <w:bCs/>
        <w:lang w:val="en"/>
      </w:rPr>
      <w:fldChar w:fldCharType="begin"/>
    </w:r>
    <w:r w:rsidRPr="006738C3">
      <w:rPr>
        <w:b/>
        <w:bCs/>
        <w:lang w:val="en"/>
      </w:rPr>
      <w:instrText xml:space="preserve"> PAGE   \* MERGEFORMAT </w:instrText>
    </w:r>
    <w:r w:rsidRPr="006738C3">
      <w:rPr>
        <w:b/>
        <w:bCs/>
        <w:lang w:val="en"/>
      </w:rPr>
      <w:fldChar w:fldCharType="separate"/>
    </w:r>
    <w:r w:rsidR="00206E8E">
      <w:rPr>
        <w:b/>
        <w:bCs/>
        <w:noProof/>
        <w:lang w:val="en"/>
      </w:rPr>
      <w:t>2</w:t>
    </w:r>
    <w:r w:rsidRPr="006738C3">
      <w:rPr>
        <w:b/>
        <w:bCs/>
        <w:noProof/>
        <w:lang w:val="en"/>
      </w:rPr>
      <w:fldChar w:fldCharType="end"/>
    </w:r>
  </w:p>
  <w:p w:rsidR="0041245F" w:rsidRDefault="0041245F" w:rsidP="0041245F">
    <w:pPr>
      <w:rPr>
        <w:b/>
        <w:bCs/>
        <w:lang w:val="en"/>
      </w:rPr>
    </w:pPr>
  </w:p>
  <w:p w:rsidR="0041245F" w:rsidRDefault="00412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479"/>
    <w:multiLevelType w:val="hybridMultilevel"/>
    <w:tmpl w:val="316C44D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5EF61D0"/>
    <w:multiLevelType w:val="hybridMultilevel"/>
    <w:tmpl w:val="B944F38C"/>
    <w:lvl w:ilvl="0" w:tplc="95DA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64AB"/>
    <w:multiLevelType w:val="hybridMultilevel"/>
    <w:tmpl w:val="43EC02D2"/>
    <w:lvl w:ilvl="0" w:tplc="0409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690A6B2F"/>
    <w:multiLevelType w:val="hybridMultilevel"/>
    <w:tmpl w:val="8960B0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D5D2FB6"/>
    <w:multiLevelType w:val="hybridMultilevel"/>
    <w:tmpl w:val="2C5E67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E920BF1"/>
    <w:multiLevelType w:val="hybridMultilevel"/>
    <w:tmpl w:val="6092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1A"/>
    <w:rsid w:val="000015DD"/>
    <w:rsid w:val="00027EC3"/>
    <w:rsid w:val="00072EA3"/>
    <w:rsid w:val="000A58DB"/>
    <w:rsid w:val="000E7FC1"/>
    <w:rsid w:val="001253E3"/>
    <w:rsid w:val="00206E8E"/>
    <w:rsid w:val="00225F2F"/>
    <w:rsid w:val="0026599E"/>
    <w:rsid w:val="00363BEA"/>
    <w:rsid w:val="003C66BA"/>
    <w:rsid w:val="00402E47"/>
    <w:rsid w:val="0041245F"/>
    <w:rsid w:val="0048631A"/>
    <w:rsid w:val="004A4B2D"/>
    <w:rsid w:val="004D7F7D"/>
    <w:rsid w:val="005116F0"/>
    <w:rsid w:val="00521692"/>
    <w:rsid w:val="00560180"/>
    <w:rsid w:val="005A0656"/>
    <w:rsid w:val="00622FCC"/>
    <w:rsid w:val="006738C3"/>
    <w:rsid w:val="006A2D83"/>
    <w:rsid w:val="006C2647"/>
    <w:rsid w:val="006F43C2"/>
    <w:rsid w:val="00716BC4"/>
    <w:rsid w:val="0082137D"/>
    <w:rsid w:val="00861868"/>
    <w:rsid w:val="008814D0"/>
    <w:rsid w:val="008B77A9"/>
    <w:rsid w:val="008C1D83"/>
    <w:rsid w:val="00927134"/>
    <w:rsid w:val="00975D82"/>
    <w:rsid w:val="00997D20"/>
    <w:rsid w:val="00A07772"/>
    <w:rsid w:val="00A4151C"/>
    <w:rsid w:val="00AF7D7B"/>
    <w:rsid w:val="00B029EC"/>
    <w:rsid w:val="00B406AA"/>
    <w:rsid w:val="00B57B7B"/>
    <w:rsid w:val="00BE0720"/>
    <w:rsid w:val="00BE6AA7"/>
    <w:rsid w:val="00C945DB"/>
    <w:rsid w:val="00CE3874"/>
    <w:rsid w:val="00CE7BA6"/>
    <w:rsid w:val="00D31F9B"/>
    <w:rsid w:val="00D50628"/>
    <w:rsid w:val="00DF0013"/>
    <w:rsid w:val="00E1727E"/>
    <w:rsid w:val="00E428E4"/>
    <w:rsid w:val="00E968AF"/>
    <w:rsid w:val="00E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BA9E"/>
  <w15:docId w15:val="{6F98EC59-63E5-4497-A667-1B81B7B5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1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A3"/>
    <w:pPr>
      <w:keepNext/>
      <w:keepLines/>
      <w:spacing w:after="240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EA3"/>
    <w:pPr>
      <w:spacing w:after="240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EA3"/>
    <w:pPr>
      <w:spacing w:after="240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692"/>
    <w:pPr>
      <w:spacing w:after="240"/>
      <w:outlineLvl w:val="3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692"/>
    <w:pPr>
      <w:spacing w:after="24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92"/>
    <w:pPr>
      <w:spacing w:after="240"/>
      <w:outlineLvl w:val="5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692"/>
    <w:pPr>
      <w:spacing w:after="240"/>
      <w:outlineLvl w:val="6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692"/>
    <w:pPr>
      <w:spacing w:after="240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692"/>
    <w:pPr>
      <w:spacing w:after="240"/>
      <w:outlineLvl w:val="8"/>
    </w:pPr>
    <w:rPr>
      <w:rFonts w:ascii="Times New Roman" w:eastAsia="Times New Roman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997D20"/>
    <w:pPr>
      <w:ind w:left="1440" w:right="1440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BodyText">
    <w:name w:val="Body Text"/>
    <w:basedOn w:val="Normal"/>
    <w:link w:val="BodyTextChar"/>
    <w:uiPriority w:val="3"/>
    <w:rsid w:val="00072EA3"/>
    <w:pPr>
      <w:spacing w:after="240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3"/>
    <w:rsid w:val="00072EA3"/>
    <w:rPr>
      <w:sz w:val="24"/>
      <w:szCs w:val="24"/>
    </w:rPr>
  </w:style>
  <w:style w:type="paragraph" w:customStyle="1" w:styleId="BodyTextDouble">
    <w:name w:val="Body Text Double"/>
    <w:basedOn w:val="BodyText"/>
    <w:uiPriority w:val="3"/>
    <w:qFormat/>
    <w:rsid w:val="00997D20"/>
    <w:pPr>
      <w:spacing w:after="0" w:line="48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97D20"/>
    <w:rPr>
      <w:rFonts w:ascii="Times New Roman" w:eastAsia="Calibri" w:hAnsi="Times New Roman" w:cs="Times New Roman"/>
      <w:b/>
      <w:bCs/>
      <w:sz w:val="20"/>
      <w:szCs w:val="18"/>
    </w:rPr>
  </w:style>
  <w:style w:type="character" w:styleId="EndnoteReference">
    <w:name w:val="endnote reference"/>
    <w:uiPriority w:val="99"/>
    <w:semiHidden/>
    <w:unhideWhenUsed/>
    <w:rsid w:val="00997D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D20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7D20"/>
    <w:rPr>
      <w:rFonts w:eastAsia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7D20"/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97D20"/>
    <w:rPr>
      <w:rFonts w:eastAsia="Calibri" w:cs="Times New Roman"/>
    </w:rPr>
  </w:style>
  <w:style w:type="character" w:styleId="FootnoteReference">
    <w:name w:val="footnote reference"/>
    <w:uiPriority w:val="99"/>
    <w:semiHidden/>
    <w:unhideWhenUsed/>
    <w:rsid w:val="00997D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20"/>
    <w:pPr>
      <w:spacing w:after="120"/>
      <w:ind w:left="432" w:hanging="432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7D20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D20"/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997D20"/>
    <w:rPr>
      <w:rFonts w:eastAsia="Calibri" w:cs="Times New Roman"/>
    </w:rPr>
  </w:style>
  <w:style w:type="character" w:customStyle="1" w:styleId="Heading1Char">
    <w:name w:val="Heading 1 Char"/>
    <w:link w:val="Heading1"/>
    <w:uiPriority w:val="9"/>
    <w:rsid w:val="00072EA3"/>
    <w:rPr>
      <w:rFonts w:eastAsia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072EA3"/>
    <w:rPr>
      <w:rFonts w:eastAsia="Times New Roman"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072EA3"/>
    <w:rPr>
      <w:rFonts w:eastAsia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21692"/>
    <w:rPr>
      <w:rFonts w:eastAsia="Times New Roman"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21692"/>
    <w:rPr>
      <w:rFonts w:eastAsia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21692"/>
    <w:rPr>
      <w:rFonts w:eastAsia="Times New Roman"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21692"/>
    <w:rPr>
      <w:rFonts w:eastAsia="Times New Roman"/>
      <w:iCs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21692"/>
    <w:rPr>
      <w:rFonts w:eastAsia="Times New Roman"/>
      <w:sz w:val="24"/>
    </w:rPr>
  </w:style>
  <w:style w:type="character" w:customStyle="1" w:styleId="Heading9Char">
    <w:name w:val="Heading 9 Char"/>
    <w:link w:val="Heading9"/>
    <w:uiPriority w:val="9"/>
    <w:semiHidden/>
    <w:rsid w:val="00521692"/>
    <w:rPr>
      <w:rFonts w:eastAsia="Times New Roman"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D20"/>
    <w:pPr>
      <w:ind w:left="240" w:hanging="240"/>
    </w:pPr>
    <w:rPr>
      <w:rFonts w:ascii="Times New Roman" w:eastAsia="Calibri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97D20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IntenseEmphasis">
    <w:name w:val="Intense Emphasis"/>
    <w:uiPriority w:val="21"/>
    <w:semiHidden/>
    <w:unhideWhenUsed/>
    <w:qFormat/>
    <w:rsid w:val="00997D20"/>
    <w:rPr>
      <w:rFonts w:ascii="Times New Roman" w:hAnsi="Times New Roman"/>
      <w:b/>
      <w:bCs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7D20"/>
    <w:pPr>
      <w:ind w:left="1440" w:right="1440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IntenseQuoteChar">
    <w:name w:val="Intense Quote Char"/>
    <w:link w:val="IntenseQuote"/>
    <w:uiPriority w:val="30"/>
    <w:semiHidden/>
    <w:rsid w:val="00997D20"/>
    <w:rPr>
      <w:rFonts w:eastAsia="Calibri" w:cs="Times New Roman"/>
      <w:b/>
      <w:bCs/>
      <w:i/>
      <w:iCs/>
    </w:rPr>
  </w:style>
  <w:style w:type="character" w:styleId="IntenseReference">
    <w:name w:val="Intense Reference"/>
    <w:uiPriority w:val="32"/>
    <w:semiHidden/>
    <w:unhideWhenUsed/>
    <w:qFormat/>
    <w:rsid w:val="00997D20"/>
    <w:rPr>
      <w:rFonts w:ascii="Times New Roman" w:hAnsi="Times New Roman"/>
      <w:b/>
      <w:bCs/>
      <w:smallCaps/>
      <w:color w:val="auto"/>
      <w:spacing w:val="5"/>
      <w:sz w:val="24"/>
      <w:u w:val="single"/>
    </w:rPr>
  </w:style>
  <w:style w:type="character" w:styleId="PlaceholderText">
    <w:name w:val="Placeholder Text"/>
    <w:uiPriority w:val="99"/>
    <w:semiHidden/>
    <w:rsid w:val="00997D2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D20"/>
    <w:rPr>
      <w:rFonts w:ascii="Courier New" w:eastAsia="Calibri" w:hAnsi="Courier New" w:cs="Consolas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997D20"/>
    <w:rPr>
      <w:rFonts w:ascii="Courier New" w:eastAsia="Calibri" w:hAnsi="Courier New" w:cs="Consolas"/>
      <w:sz w:val="20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rsid w:val="00072EA3"/>
    <w:pPr>
      <w:spacing w:after="240"/>
      <w:ind w:left="1440" w:right="1440"/>
    </w:pPr>
    <w:rPr>
      <w:rFonts w:ascii="Times New Roman" w:eastAsia="Calibri" w:hAnsi="Times New Roman" w:cs="Times New Roman"/>
      <w:iCs/>
      <w:color w:val="000000"/>
      <w:sz w:val="24"/>
      <w:szCs w:val="24"/>
    </w:rPr>
  </w:style>
  <w:style w:type="character" w:customStyle="1" w:styleId="QuoteChar">
    <w:name w:val="Quote Char"/>
    <w:link w:val="Quote"/>
    <w:uiPriority w:val="4"/>
    <w:rsid w:val="00072EA3"/>
    <w:rPr>
      <w:iCs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8"/>
    <w:qFormat/>
    <w:rsid w:val="00072EA3"/>
    <w:pPr>
      <w:keepNext/>
      <w:numPr>
        <w:ilvl w:val="1"/>
      </w:numPr>
      <w:spacing w:after="240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ubtitleChar">
    <w:name w:val="Subtitle Char"/>
    <w:link w:val="Subtitle"/>
    <w:uiPriority w:val="8"/>
    <w:rsid w:val="00072EA3"/>
    <w:rPr>
      <w:rFonts w:eastAsia="Times New Roman"/>
      <w:i/>
      <w:iCs/>
      <w:sz w:val="24"/>
      <w:szCs w:val="24"/>
    </w:rPr>
  </w:style>
  <w:style w:type="character" w:styleId="SubtleReference">
    <w:name w:val="Subtle Reference"/>
    <w:uiPriority w:val="31"/>
    <w:semiHidden/>
    <w:unhideWhenUsed/>
    <w:qFormat/>
    <w:rsid w:val="00997D20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7"/>
    <w:qFormat/>
    <w:rsid w:val="00072EA3"/>
    <w:pPr>
      <w:keepNext/>
      <w:spacing w:after="24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52"/>
    </w:rPr>
  </w:style>
  <w:style w:type="character" w:customStyle="1" w:styleId="TitleChar">
    <w:name w:val="Title Char"/>
    <w:link w:val="Title"/>
    <w:uiPriority w:val="7"/>
    <w:rsid w:val="00072EA3"/>
    <w:rPr>
      <w:rFonts w:eastAsia="Times New Roman"/>
      <w:b/>
      <w:caps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97D20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151C"/>
    <w:pPr>
      <w:tabs>
        <w:tab w:val="left" w:pos="720"/>
        <w:tab w:val="right" w:leader="dot" w:pos="9360"/>
      </w:tabs>
      <w:spacing w:after="120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1440" w:hanging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2160" w:hanging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2880" w:hanging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3600" w:hanging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4320" w:hanging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5040" w:hanging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5760" w:hanging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4151C"/>
    <w:pPr>
      <w:tabs>
        <w:tab w:val="right" w:leader="dot" w:pos="9360"/>
      </w:tabs>
      <w:spacing w:after="120"/>
      <w:ind w:left="6480" w:hanging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D20"/>
    <w:pPr>
      <w:jc w:val="center"/>
      <w:outlineLvl w:val="9"/>
    </w:pPr>
    <w:rPr>
      <w:caps w:val="0"/>
      <w:sz w:val="28"/>
    </w:rPr>
  </w:style>
  <w:style w:type="paragraph" w:styleId="NoSpacing">
    <w:name w:val="No Spacing"/>
    <w:uiPriority w:val="1"/>
    <w:qFormat/>
    <w:rsid w:val="006C2647"/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8631A"/>
    <w:pPr>
      <w:ind w:left="720"/>
      <w:contextualSpacing/>
    </w:pPr>
  </w:style>
  <w:style w:type="paragraph" w:customStyle="1" w:styleId="MacPacTrailer">
    <w:name w:val="MacPac Trailer"/>
    <w:rsid w:val="00225F2F"/>
    <w:pPr>
      <w:widowControl w:val="0"/>
      <w:spacing w:line="160" w:lineRule="exact"/>
    </w:pPr>
    <w:rPr>
      <w:rFonts w:eastAsia="Times New Roman"/>
      <w:sz w:val="1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5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footer1.xml" Type="http://schemas.openxmlformats.org/officeDocument/2006/relationships/footer" Id="rId8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theme/theme1.xml" Type="http://schemas.openxmlformats.org/officeDocument/2006/relationships/theme" Id="rId11"></Relationship><Relationship Target="footnotes.xml" Type="http://schemas.openxmlformats.org/officeDocument/2006/relationships/footnotes" Id="rId5"></Relationship><Relationship Target="fontTable.xml" Type="http://schemas.openxmlformats.org/officeDocument/2006/relationships/fontTable" Id="rId10"></Relationship><Relationship Target="webSettings.xml" Type="http://schemas.openxmlformats.org/officeDocument/2006/relationships/webSettings" Id="rId4"></Relationship><Relationship Target="footer2.xml" Type="http://schemas.openxmlformats.org/officeDocument/2006/relationships/footer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