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03399" w:rsidRPr="00303399" w:rsidTr="00303399">
        <w:trPr>
          <w:tblCellSpacing w:w="0" w:type="dxa"/>
        </w:trPr>
        <w:tc>
          <w:tcPr>
            <w:tcW w:w="5000" w:type="pct"/>
            <w:shd w:val="clear" w:color="auto" w:fill="FFFFFF"/>
            <w:tcMar>
              <w:top w:w="120" w:type="dxa"/>
              <w:left w:w="0" w:type="dxa"/>
              <w:bottom w:w="22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jc w:val="center"/>
                    <w:rPr>
                      <w:rFonts w:ascii="Century Gothic" w:eastAsia="Times New Roman" w:hAnsi="Century Gothic" w:cs="Times New Roman"/>
                      <w:color w:val="000000"/>
                      <w:sz w:val="24"/>
                      <w:szCs w:val="24"/>
                    </w:rPr>
                  </w:pPr>
                  <w:r w:rsidRPr="00303399">
                    <w:rPr>
                      <w:rFonts w:ascii="Century Gothic" w:eastAsia="Times New Roman" w:hAnsi="Century Gothic" w:cs="Times New Roman"/>
                      <w:b/>
                      <w:bCs/>
                      <w:color w:val="000000"/>
                      <w:sz w:val="24"/>
                      <w:szCs w:val="24"/>
                    </w:rPr>
                    <w:t>Income Averaging- Creating More Housing Now!</w:t>
                  </w:r>
                </w:p>
                <w:p w:rsidR="00303399" w:rsidRPr="00303399" w:rsidRDefault="00303399" w:rsidP="00303399">
                  <w:pPr>
                    <w:spacing w:after="0" w:line="240" w:lineRule="auto"/>
                    <w:jc w:val="center"/>
                    <w:rPr>
                      <w:rFonts w:ascii="Century Gothic" w:eastAsia="Times New Roman" w:hAnsi="Century Gothic" w:cs="Times New Roman"/>
                      <w:color w:val="000000"/>
                    </w:rPr>
                  </w:pPr>
                </w:p>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With the goal of working towards the creation of Industry Standards, Dominium is proud to share much of what we have learned about </w:t>
                  </w:r>
                  <w:hyperlink r:id="rId4" w:tgtFrame="_blank" w:history="1">
                    <w:r w:rsidRPr="00303399">
                      <w:rPr>
                        <w:rFonts w:ascii="Century Gothic" w:eastAsia="Times New Roman" w:hAnsi="Century Gothic" w:cs="Times New Roman"/>
                        <w:b/>
                        <w:bCs/>
                        <w:color w:val="000000"/>
                        <w:sz w:val="18"/>
                        <w:szCs w:val="18"/>
                        <w:u w:val="single"/>
                      </w:rPr>
                      <w:t>income averaging</w:t>
                    </w:r>
                  </w:hyperlink>
                  <w:r w:rsidRPr="00303399">
                    <w:rPr>
                      <w:rFonts w:ascii="Century Gothic" w:eastAsia="Times New Roman" w:hAnsi="Century Gothic" w:cs="Times New Roman"/>
                      <w:color w:val="000000"/>
                      <w:sz w:val="18"/>
                      <w:szCs w:val="18"/>
                    </w:rPr>
                    <w:t> through discussions with industry experts in a series of topic-based correspondence that is meant to be shared with all interested industry professionals. We hope that through the sharing of this content, we can encourage the industry to work together to create widely accepted practices of how to utilize income averaging in a way that is both consistent and marketable.</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shd w:val="clear" w:color="auto" w:fill="FFFFFF"/>
                  <w:tcMar>
                    <w:top w:w="120" w:type="dxa"/>
                    <w:left w:w="300" w:type="dxa"/>
                    <w:bottom w:w="135" w:type="dxa"/>
                    <w:right w:w="300" w:type="dxa"/>
                  </w:tcMar>
                  <w:hideMark/>
                </w:tcPr>
                <w:tbl>
                  <w:tblPr>
                    <w:tblW w:w="5000" w:type="pct"/>
                    <w:tblCellSpacing w:w="0" w:type="dxa"/>
                    <w:shd w:val="clear" w:color="auto" w:fill="CCCCCC"/>
                    <w:tblCellMar>
                      <w:left w:w="0" w:type="dxa"/>
                      <w:right w:w="0" w:type="dxa"/>
                    </w:tblCellMar>
                    <w:tblLook w:val="04A0" w:firstRow="1" w:lastRow="0" w:firstColumn="1" w:lastColumn="0" w:noHBand="0" w:noVBand="1"/>
                  </w:tblPr>
                  <w:tblGrid>
                    <w:gridCol w:w="8760"/>
                  </w:tblGrid>
                  <w:tr w:rsidR="00303399" w:rsidRPr="00303399">
                    <w:trPr>
                      <w:tblCellSpacing w:w="0" w:type="dxa"/>
                    </w:trPr>
                    <w:tc>
                      <w:tcPr>
                        <w:tcW w:w="0" w:type="auto"/>
                        <w:shd w:val="clear" w:color="auto" w:fill="CCCCCC"/>
                        <w:tcMar>
                          <w:top w:w="225" w:type="dxa"/>
                          <w:left w:w="300" w:type="dxa"/>
                          <w:bottom w:w="225" w:type="dxa"/>
                          <w:right w:w="255" w:type="dxa"/>
                        </w:tcMar>
                        <w:hideMark/>
                      </w:tcPr>
                      <w:p w:rsidR="00303399" w:rsidRPr="00303399" w:rsidRDefault="00303399" w:rsidP="00303399">
                        <w:pPr>
                          <w:spacing w:after="0" w:line="240" w:lineRule="auto"/>
                          <w:rPr>
                            <w:rFonts w:ascii="Arial" w:eastAsia="Times New Roman" w:hAnsi="Arial" w:cs="Arial"/>
                            <w:color w:val="121212"/>
                            <w:sz w:val="28"/>
                            <w:szCs w:val="28"/>
                          </w:rPr>
                        </w:pPr>
                        <w:r w:rsidRPr="00303399">
                          <w:rPr>
                            <w:rFonts w:ascii="Century Gothic" w:eastAsia="Times New Roman" w:hAnsi="Century Gothic" w:cs="Arial"/>
                            <w:b/>
                            <w:bCs/>
                            <w:color w:val="121212"/>
                            <w:sz w:val="32"/>
                            <w:szCs w:val="32"/>
                          </w:rPr>
                          <w:t>ARTICLE 1: THERE IS NO 'CLIFF'</w:t>
                        </w:r>
                      </w:p>
                    </w:tc>
                  </w:tr>
                </w:tbl>
                <w:p w:rsidR="00303399" w:rsidRPr="00303399" w:rsidRDefault="00303399" w:rsidP="00303399">
                  <w:pPr>
                    <w:spacing w:after="0" w:line="240" w:lineRule="auto"/>
                    <w:rPr>
                      <w:rFonts w:ascii="Times New Roman" w:eastAsia="Times New Roman" w:hAnsi="Times New Roman" w:cs="Times New Roman"/>
                      <w:color w:val="000000"/>
                      <w:sz w:val="24"/>
                      <w:szCs w:val="24"/>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 xml:space="preserve">Hi everyone, this is Jen Brewerton. I am the Vice President of Compliance here at Dominium. I would like to start out by saying that I love thinking and talking about income averaging because it is an incredible tool that we can use to serve households at income levels that we have never been able to serve with the traditional 20/50 or 40/60 minimum set aside tests. As I see it, the tax credit heaven has </w:t>
                  </w:r>
                  <w:proofErr w:type="gramStart"/>
                  <w:r w:rsidRPr="00303399">
                    <w:rPr>
                      <w:rFonts w:ascii="Century Gothic" w:eastAsia="Times New Roman" w:hAnsi="Century Gothic" w:cs="Times New Roman"/>
                      <w:color w:val="000000"/>
                      <w:sz w:val="18"/>
                      <w:szCs w:val="18"/>
                    </w:rPr>
                    <w:t>opened up</w:t>
                  </w:r>
                  <w:proofErr w:type="gramEnd"/>
                  <w:r w:rsidRPr="00303399">
                    <w:rPr>
                      <w:rFonts w:ascii="Century Gothic" w:eastAsia="Times New Roman" w:hAnsi="Century Gothic" w:cs="Times New Roman"/>
                      <w:color w:val="000000"/>
                      <w:sz w:val="18"/>
                      <w:szCs w:val="18"/>
                    </w:rPr>
                    <w:t xml:space="preserve"> and sent down a new minimum set aside that will change our world for the better!</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Today, I'd like to talk to you about what I call, 'the cliff'. Since March, I have been to a series of conferences and industry/state agency meetings about income averaging, and I have heard so many people talking about what's being called, 'the cliff'. </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b/>
                      <w:bCs/>
                      <w:color w:val="000000"/>
                      <w:sz w:val="18"/>
                      <w:szCs w:val="18"/>
                    </w:rPr>
                    <w:t>'The cliff is the fear that if one unit on an income averaging property goes out of compliance, you no longer meet the minimum set-aside, and lose ALL of your tax credits.'</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I am here to tell you, </w:t>
                  </w:r>
                  <w:r w:rsidRPr="00303399">
                    <w:rPr>
                      <w:rFonts w:ascii="Century Gothic" w:eastAsia="Times New Roman" w:hAnsi="Century Gothic" w:cs="Times New Roman"/>
                      <w:b/>
                      <w:bCs/>
                      <w:color w:val="000000"/>
                      <w:sz w:val="18"/>
                      <w:szCs w:val="18"/>
                    </w:rPr>
                    <w:t>there is NO cliff</w:t>
                  </w:r>
                  <w:r w:rsidRPr="00303399">
                    <w:rPr>
                      <w:rFonts w:ascii="Century Gothic" w:eastAsia="Times New Roman" w:hAnsi="Century Gothic" w:cs="Times New Roman"/>
                      <w:color w:val="000000"/>
                      <w:sz w:val="18"/>
                      <w:szCs w:val="18"/>
                    </w:rPr>
                    <w:t>, and we should all understand why and spread the message throughout our affordable housing world!</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It is important to understand the difference between a single unit going out of compliance versus a project failing the minimum set aside test. When a unit goes out of compliance, credits are only lost on that single unit. However, when a project fails to meet the minimum set aside, the project loses credits on all units. That concept did not change with the income averaging set aside provision.</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jc w:val="both"/>
                    <w:rPr>
                      <w:rFonts w:ascii="Century Gothic" w:eastAsia="Times New Roman" w:hAnsi="Century Gothic" w:cs="Times New Roman"/>
                      <w:color w:val="000000"/>
                      <w:sz w:val="24"/>
                      <w:szCs w:val="24"/>
                    </w:rPr>
                  </w:pPr>
                  <w:r w:rsidRPr="00303399">
                    <w:rPr>
                      <w:rFonts w:ascii="Century Gothic" w:eastAsia="Times New Roman" w:hAnsi="Century Gothic" w:cs="Times New Roman"/>
                      <w:b/>
                      <w:bCs/>
                      <w:color w:val="000000"/>
                      <w:sz w:val="24"/>
                      <w:szCs w:val="24"/>
                    </w:rPr>
                    <w:t xml:space="preserve">How Do We Know When the Minimum Set Aside Test is Satisfied </w:t>
                  </w:r>
                  <w:proofErr w:type="gramStart"/>
                  <w:r w:rsidRPr="00303399">
                    <w:rPr>
                      <w:rFonts w:ascii="Century Gothic" w:eastAsia="Times New Roman" w:hAnsi="Century Gothic" w:cs="Times New Roman"/>
                      <w:b/>
                      <w:bCs/>
                      <w:color w:val="000000"/>
                      <w:sz w:val="24"/>
                      <w:szCs w:val="24"/>
                    </w:rPr>
                    <w:t>For</w:t>
                  </w:r>
                  <w:proofErr w:type="gramEnd"/>
                  <w:r w:rsidRPr="00303399">
                    <w:rPr>
                      <w:rFonts w:ascii="Century Gothic" w:eastAsia="Times New Roman" w:hAnsi="Century Gothic" w:cs="Times New Roman"/>
                      <w:b/>
                      <w:bCs/>
                      <w:color w:val="000000"/>
                      <w:sz w:val="24"/>
                      <w:szCs w:val="24"/>
                    </w:rPr>
                    <w:t xml:space="preserve"> This New 'Income Averaging' Option?</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At the heart of the cliff discussion is the lack of clarity from the IRS in how to </w:t>
                  </w:r>
                  <w:r w:rsidRPr="00303399">
                    <w:rPr>
                      <w:rFonts w:ascii="Century Gothic" w:eastAsia="Times New Roman" w:hAnsi="Century Gothic" w:cs="Times New Roman"/>
                      <w:b/>
                      <w:bCs/>
                      <w:color w:val="000000"/>
                      <w:sz w:val="18"/>
                      <w:szCs w:val="18"/>
                    </w:rPr>
                    <w:t>evidence</w:t>
                  </w:r>
                  <w:r w:rsidRPr="00303399">
                    <w:rPr>
                      <w:rFonts w:ascii="Century Gothic" w:eastAsia="Times New Roman" w:hAnsi="Century Gothic" w:cs="Times New Roman"/>
                      <w:color w:val="000000"/>
                      <w:sz w:val="18"/>
                      <w:szCs w:val="18"/>
                    </w:rPr>
                    <w:t> that a project meets the minimum set aside under the average income test.  Basically, we aren't sure how to designate units for the minimum set aside (many of us are working to get that clarity).  While that may be unclear, it does not mean that one unit out of compliance equals a violation of minimum set aside. </w:t>
                  </w:r>
                  <w:r w:rsidRPr="00303399">
                    <w:rPr>
                      <w:rFonts w:ascii="Century Gothic" w:eastAsia="Times New Roman" w:hAnsi="Century Gothic" w:cs="Times New Roman"/>
                      <w:b/>
                      <w:bCs/>
                      <w:color w:val="000000"/>
                      <w:sz w:val="18"/>
                      <w:szCs w:val="18"/>
                    </w:rPr>
                    <w:t>There is no cliff.</w:t>
                  </w:r>
                </w:p>
                <w:p w:rsidR="00303399" w:rsidRPr="00303399" w:rsidRDefault="00303399" w:rsidP="00303399">
                  <w:pPr>
                    <w:spacing w:after="0" w:line="240" w:lineRule="auto"/>
                    <w:rPr>
                      <w:rFonts w:ascii="Century Gothic" w:eastAsia="Times New Roman" w:hAnsi="Century Gothic" w:cs="Times New Roman"/>
                      <w:color w:val="000000"/>
                      <w:sz w:val="20"/>
                      <w:szCs w:val="20"/>
                    </w:rPr>
                  </w:pPr>
                </w:p>
                <w:p w:rsidR="00303399" w:rsidRPr="00303399" w:rsidRDefault="00303399" w:rsidP="00303399">
                  <w:pPr>
                    <w:spacing w:after="0" w:line="240" w:lineRule="auto"/>
                    <w:rPr>
                      <w:rFonts w:ascii="Century Gothic" w:eastAsia="Times New Roman" w:hAnsi="Century Gothic" w:cs="Times New Roman"/>
                      <w:color w:val="000000"/>
                      <w:sz w:val="20"/>
                      <w:szCs w:val="20"/>
                    </w:rPr>
                  </w:pPr>
                  <w:r w:rsidRPr="00303399">
                    <w:rPr>
                      <w:rFonts w:ascii="Century Gothic" w:eastAsia="Times New Roman" w:hAnsi="Century Gothic" w:cs="Times New Roman"/>
                      <w:color w:val="000000"/>
                      <w:sz w:val="18"/>
                      <w:szCs w:val="18"/>
                    </w:rPr>
                    <w:t>For example, the following project has nine units of equal size with an average affordability of exactly 60%. If one of the 20% units is found to be out of compliance, the project average would decrease to 65%.</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lastRenderedPageBreak/>
                          <w:drawing>
                            <wp:inline distT="0" distB="0" distL="0" distR="0">
                              <wp:extent cx="5143500" cy="2133600"/>
                              <wp:effectExtent l="0" t="0" r="0" b="0"/>
                              <wp:docPr id="10" name="Picture 10" descr="https://mlsvc01-prod.s3.amazonaws.com/058a2e56be/95e5d1e6-0776-414c-8c48-5669f70e1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058a2e56be/95e5d1e6-0776-414c-8c48-5669f70e197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133600"/>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Does this project fail the minimum set aside test? </w:t>
                  </w:r>
                  <w:r w:rsidRPr="00303399">
                    <w:rPr>
                      <w:rFonts w:ascii="Century Gothic" w:eastAsia="Times New Roman" w:hAnsi="Century Gothic" w:cs="Times New Roman"/>
                      <w:b/>
                      <w:bCs/>
                      <w:color w:val="000000"/>
                      <w:sz w:val="18"/>
                      <w:szCs w:val="18"/>
                    </w:rPr>
                    <w:t>No! There is no cliff!</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A project meets the average income minimum set aside test </w:t>
                  </w:r>
                  <w:proofErr w:type="gramStart"/>
                  <w:r w:rsidRPr="00303399">
                    <w:rPr>
                      <w:rFonts w:ascii="Century Gothic" w:eastAsia="Times New Roman" w:hAnsi="Century Gothic" w:cs="Times New Roman"/>
                      <w:b/>
                      <w:bCs/>
                      <w:color w:val="000000"/>
                      <w:sz w:val="18"/>
                      <w:szCs w:val="18"/>
                    </w:rPr>
                    <w:t>as long as</w:t>
                  </w:r>
                  <w:proofErr w:type="gramEnd"/>
                  <w:r w:rsidRPr="00303399">
                    <w:rPr>
                      <w:rFonts w:ascii="Century Gothic" w:eastAsia="Times New Roman" w:hAnsi="Century Gothic" w:cs="Times New Roman"/>
                      <w:b/>
                      <w:bCs/>
                      <w:color w:val="000000"/>
                      <w:sz w:val="18"/>
                      <w:szCs w:val="18"/>
                    </w:rPr>
                    <w:t xml:space="preserve"> at least 40% of its units have an average affordability of 60% or less</w:t>
                  </w:r>
                  <w:r w:rsidRPr="00303399">
                    <w:rPr>
                      <w:rFonts w:ascii="Century Gothic" w:eastAsia="Times New Roman" w:hAnsi="Century Gothic" w:cs="Times New Roman"/>
                      <w:color w:val="000000"/>
                      <w:sz w:val="18"/>
                      <w:szCs w:val="18"/>
                    </w:rPr>
                    <w:t>. In this example, we can identify the 40% of the units (four units) that, when we average their income designations, the average affordability is 60%.</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drawing>
                            <wp:inline distT="0" distB="0" distL="0" distR="0">
                              <wp:extent cx="4286250" cy="1724025"/>
                              <wp:effectExtent l="0" t="0" r="0" b="9525"/>
                              <wp:docPr id="9" name="Picture 9" descr="https://mlsvc01-prod.s3.amazonaws.com/058a2e56be/570d6624-9618-4614-aa32-c020c4cb6f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058a2e56be/570d6624-9618-4614-aa32-c020c4cb6fe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724025"/>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The minimum set aside test represents the minimum number of units required to be low-income for the project to claim any credits. </w:t>
                  </w:r>
                  <w:r w:rsidRPr="00303399">
                    <w:rPr>
                      <w:rFonts w:ascii="Century Gothic" w:eastAsia="Times New Roman" w:hAnsi="Century Gothic" w:cs="Times New Roman"/>
                      <w:b/>
                      <w:bCs/>
                      <w:color w:val="000000"/>
                      <w:sz w:val="18"/>
                      <w:szCs w:val="18"/>
                    </w:rPr>
                    <w:t>This is different from the applicable fraction</w:t>
                  </w:r>
                  <w:r w:rsidRPr="00303399">
                    <w:rPr>
                      <w:rFonts w:ascii="Century Gothic" w:eastAsia="Times New Roman" w:hAnsi="Century Gothic" w:cs="Times New Roman"/>
                      <w:color w:val="000000"/>
                      <w:sz w:val="18"/>
                      <w:szCs w:val="18"/>
                    </w:rPr>
                    <w:t>, which determines how many credits can be claimed in the building in any given year.  In this example, the applicable fraction is 100% since all the units are required to be low-income.  While the project is eligible to claim credits because the minimum set aside is met, the amount of credit the building could generate is affected because the applicable fraction is less than 100%.  In other words, there is a loss of credit, but credit can still be claimed! </w:t>
                  </w:r>
                </w:p>
                <w:p w:rsidR="00303399" w:rsidRPr="00303399" w:rsidRDefault="00303399" w:rsidP="00303399">
                  <w:pPr>
                    <w:spacing w:after="0" w:line="240" w:lineRule="auto"/>
                    <w:rPr>
                      <w:rFonts w:ascii="Century Gothic" w:eastAsia="Times New Roman" w:hAnsi="Century Gothic" w:cs="Times New Roman"/>
                      <w:color w:val="000000"/>
                      <w:sz w:val="18"/>
                      <w:szCs w:val="18"/>
                    </w:rPr>
                  </w:pPr>
                </w:p>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Let's look at some examples that help disprove the notion that the average income set aside is a cliff...</w:t>
                  </w:r>
                </w:p>
                <w:p w:rsidR="00303399" w:rsidRPr="00303399" w:rsidRDefault="00303399" w:rsidP="00303399">
                  <w:pPr>
                    <w:spacing w:after="0" w:line="240" w:lineRule="auto"/>
                    <w:rPr>
                      <w:rFonts w:ascii="Century Gothic" w:eastAsia="Times New Roman" w:hAnsi="Century Gothic" w:cs="Times New Roman"/>
                      <w:color w:val="000000"/>
                      <w:sz w:val="18"/>
                      <w:szCs w:val="18"/>
                    </w:rPr>
                  </w:pPr>
                </w:p>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The following project has 10 units of equal size with an average affordability of exactly 60%.  If one of the 40% units is found to be out of compliance, the project average would increase to 62.2%. To answer the minimum set aside test we simply ask, do 40% or more of the units in the project have an average affordability that is 60% or less?  The answer is clearly yes. There are eight units in the project that have an average affordability of 60% or less. Therefore, the minimum set aside is far exceeded.  </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5700" w:type="dxa"/>
                    <w:jc w:val="center"/>
                    <w:tblCellSpacing w:w="0" w:type="dxa"/>
                    <w:tblCellMar>
                      <w:left w:w="0" w:type="dxa"/>
                      <w:right w:w="0" w:type="dxa"/>
                    </w:tblCellMar>
                    <w:tblLook w:val="04A0" w:firstRow="1" w:lastRow="0" w:firstColumn="1" w:lastColumn="0" w:noHBand="0" w:noVBand="1"/>
                  </w:tblPr>
                  <w:tblGrid>
                    <w:gridCol w:w="570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lastRenderedPageBreak/>
                          <w:drawing>
                            <wp:inline distT="0" distB="0" distL="0" distR="0">
                              <wp:extent cx="3619500" cy="2152650"/>
                              <wp:effectExtent l="0" t="0" r="0" b="0"/>
                              <wp:docPr id="8" name="Picture 8" descr="https://mlsvc01-prod.s3.amazonaws.com/058a2e56be/b3a8d490-e106-4491-b069-afa115254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058a2e56be/b3a8d490-e106-4491-b069-afa11525467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152650"/>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Now let's assume that there are three 40% units found to be out of compliance, resulting in the project average increasing to 68.6%. To answer the minimum set aside test, we simply ask 'do 40% or more of the units in the project have an average affordability that is 60% or less?' The answer is still yes. There are four units in the project that have an average affordability of 60% or less. Therefore, the minimum set aside is met.</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drawing>
                            <wp:inline distT="0" distB="0" distL="0" distR="0">
                              <wp:extent cx="4286250" cy="2009775"/>
                              <wp:effectExtent l="0" t="0" r="0" b="9525"/>
                              <wp:docPr id="7" name="Picture 7" descr="https://mlsvc01-prod.s3.amazonaws.com/058a2e56be/e058bfed-faf4-4eac-89fa-c9a33e051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058a2e56be/e058bfed-faf4-4eac-89fa-c9a33e051e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009775"/>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 xml:space="preserve">Let's examine this on a much larger scale by looking at a </w:t>
                  </w:r>
                  <w:proofErr w:type="gramStart"/>
                  <w:r w:rsidRPr="00303399">
                    <w:rPr>
                      <w:rFonts w:ascii="Century Gothic" w:eastAsia="Times New Roman" w:hAnsi="Century Gothic" w:cs="Times New Roman"/>
                      <w:color w:val="000000"/>
                      <w:sz w:val="18"/>
                      <w:szCs w:val="18"/>
                    </w:rPr>
                    <w:t>100 unit</w:t>
                  </w:r>
                  <w:proofErr w:type="gramEnd"/>
                  <w:r w:rsidRPr="00303399">
                    <w:rPr>
                      <w:rFonts w:ascii="Century Gothic" w:eastAsia="Times New Roman" w:hAnsi="Century Gothic" w:cs="Times New Roman"/>
                      <w:color w:val="000000"/>
                      <w:sz w:val="18"/>
                      <w:szCs w:val="18"/>
                    </w:rPr>
                    <w:t xml:space="preserve"> project.  On a </w:t>
                  </w:r>
                  <w:proofErr w:type="gramStart"/>
                  <w:r w:rsidRPr="00303399">
                    <w:rPr>
                      <w:rFonts w:ascii="Century Gothic" w:eastAsia="Times New Roman" w:hAnsi="Century Gothic" w:cs="Times New Roman"/>
                      <w:color w:val="000000"/>
                      <w:sz w:val="18"/>
                      <w:szCs w:val="18"/>
                    </w:rPr>
                    <w:t>100 unit</w:t>
                  </w:r>
                  <w:proofErr w:type="gramEnd"/>
                  <w:r w:rsidRPr="00303399">
                    <w:rPr>
                      <w:rFonts w:ascii="Century Gothic" w:eastAsia="Times New Roman" w:hAnsi="Century Gothic" w:cs="Times New Roman"/>
                      <w:color w:val="000000"/>
                      <w:sz w:val="18"/>
                      <w:szCs w:val="18"/>
                    </w:rPr>
                    <w:t xml:space="preserve"> project, as long as at least 40 units have an average affordability of 60% or less, then the project would continue to meet the minimum set aside. This is regardless of anything that happens with the remaining 60 units.</w:t>
                  </w:r>
                </w:p>
                <w:p w:rsidR="00303399" w:rsidRPr="00303399" w:rsidRDefault="00303399" w:rsidP="00303399">
                  <w:pPr>
                    <w:spacing w:after="24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Any combination of units can be identified as intended to satisfy the minimum set aside, as long the average affordability of the units is ≤ 60%.  </w:t>
                  </w:r>
                </w:p>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Which means, this would work...</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lastRenderedPageBreak/>
                          <w:drawing>
                            <wp:inline distT="0" distB="0" distL="0" distR="0">
                              <wp:extent cx="4762500" cy="3009900"/>
                              <wp:effectExtent l="0" t="0" r="0" b="0"/>
                              <wp:docPr id="6" name="Picture 6" descr="https://mlsvc01-prod.s3.amazonaws.com/058a2e56be/fea54d8d-5fbe-4e09-8b65-988496f741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058a2e56be/fea54d8d-5fbe-4e09-8b65-988496f741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09900"/>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rPr>
                      <w:rFonts w:ascii="Century Gothic" w:eastAsia="Times New Roman" w:hAnsi="Century Gothic" w:cs="Times New Roman"/>
                      <w:color w:val="000000"/>
                      <w:sz w:val="20"/>
                      <w:szCs w:val="20"/>
                    </w:rPr>
                  </w:pPr>
                  <w:r w:rsidRPr="00303399">
                    <w:rPr>
                      <w:rFonts w:ascii="Century Gothic" w:eastAsia="Times New Roman" w:hAnsi="Century Gothic" w:cs="Times New Roman"/>
                      <w:color w:val="000000"/>
                      <w:sz w:val="18"/>
                      <w:szCs w:val="18"/>
                    </w:rPr>
                    <w:t>Or this...</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drawing>
                            <wp:inline distT="0" distB="0" distL="0" distR="0">
                              <wp:extent cx="4762500" cy="3276600"/>
                              <wp:effectExtent l="0" t="0" r="0" b="0"/>
                              <wp:docPr id="5" name="Picture 5" descr="https://mlsvc01-prod.s3.amazonaws.com/058a2e56be/2330ba91-8b9b-492d-8848-99e362b32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svc01-prod.s3.amazonaws.com/058a2e56be/2330ba91-8b9b-492d-8848-99e362b32e8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But, if these were the only 40 units in compliance, they would NOT satisfy the test because the average affordability is 60.75%.  </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lastRenderedPageBreak/>
                          <w:drawing>
                            <wp:inline distT="0" distB="0" distL="0" distR="0">
                              <wp:extent cx="4762500" cy="2676525"/>
                              <wp:effectExtent l="0" t="0" r="0" b="9525"/>
                              <wp:docPr id="4" name="Picture 4" descr="https://mlsvc01-prod.s3.amazonaws.com/058a2e56be/f19e1f2b-6c6d-438a-88ec-67208e1711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058a2e56be/f19e1f2b-6c6d-438a-88ec-67208e1711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Not just any combination of units will work! The units intended to evidence that the minimum set aside is met must have an affordability average ≤ 60%. Since the only 40 units in compliance have an average affordability period that exceeds 60%, the minimum set aside has not been met and no credit can be claimed for the project. This project has failed the minimum set aside test!</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Conversely, this would NOT fail the test because, even though there is a 40% unit out of compliance, there is still a minimum of 40% of the units that do have an average affordability ≤ 60%.</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drawing>
                            <wp:inline distT="0" distB="0" distL="0" distR="0">
                              <wp:extent cx="4762500" cy="2638425"/>
                              <wp:effectExtent l="0" t="0" r="0" b="9525"/>
                              <wp:docPr id="3" name="Picture 3" descr="https://mlsvc01-prod.s3.amazonaws.com/058a2e56be/8d20f015-5a09-49c1-9876-4b1a36c61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vc01-prod.s3.amazonaws.com/058a2e56be/8d20f015-5a09-49c1-9876-4b1a36c615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638425"/>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 xml:space="preserve">With the noncompliance in the 40% unit, the project average increases to 60.10%. While the building's applicable fraction of 100% was not achieved with the one unit out of compliance, this results in a loss of credit for that unit. Having the unit out of compliance is not a violation of the minimum set aside. There are still 99 units in the project that </w:t>
                  </w:r>
                  <w:proofErr w:type="gramStart"/>
                  <w:r w:rsidRPr="00303399">
                    <w:rPr>
                      <w:rFonts w:ascii="Century Gothic" w:eastAsia="Times New Roman" w:hAnsi="Century Gothic" w:cs="Times New Roman"/>
                      <w:color w:val="000000"/>
                      <w:sz w:val="18"/>
                      <w:szCs w:val="18"/>
                    </w:rPr>
                    <w:t>are in compliance</w:t>
                  </w:r>
                  <w:proofErr w:type="gramEnd"/>
                  <w:r w:rsidRPr="00303399">
                    <w:rPr>
                      <w:rFonts w:ascii="Century Gothic" w:eastAsia="Times New Roman" w:hAnsi="Century Gothic" w:cs="Times New Roman"/>
                      <w:color w:val="000000"/>
                      <w:sz w:val="18"/>
                      <w:szCs w:val="18"/>
                    </w:rPr>
                    <w:t>!</w:t>
                  </w:r>
                </w:p>
                <w:p w:rsidR="00303399" w:rsidRPr="00303399" w:rsidRDefault="00303399" w:rsidP="00303399">
                  <w:pPr>
                    <w:spacing w:after="0" w:line="240" w:lineRule="auto"/>
                    <w:rPr>
                      <w:rFonts w:ascii="Century Gothic" w:eastAsia="Times New Roman" w:hAnsi="Century Gothic" w:cs="Times New Roman"/>
                      <w:color w:val="000000"/>
                      <w:sz w:val="18"/>
                      <w:szCs w:val="18"/>
                    </w:rPr>
                  </w:pP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 xml:space="preserve">In fact, you could have up to 60 units out of compliance </w:t>
                  </w:r>
                  <w:proofErr w:type="gramStart"/>
                  <w:r w:rsidRPr="00303399">
                    <w:rPr>
                      <w:rFonts w:ascii="Century Gothic" w:eastAsia="Times New Roman" w:hAnsi="Century Gothic" w:cs="Times New Roman"/>
                      <w:color w:val="000000"/>
                      <w:sz w:val="18"/>
                      <w:szCs w:val="18"/>
                    </w:rPr>
                    <w:t>as long as</w:t>
                  </w:r>
                  <w:proofErr w:type="gramEnd"/>
                  <w:r w:rsidRPr="00303399">
                    <w:rPr>
                      <w:rFonts w:ascii="Century Gothic" w:eastAsia="Times New Roman" w:hAnsi="Century Gothic" w:cs="Times New Roman"/>
                      <w:color w:val="000000"/>
                      <w:sz w:val="18"/>
                      <w:szCs w:val="18"/>
                    </w:rPr>
                    <w:t xml:space="preserve"> the remaining 40 units have an average affordability of 60% or less.  For example, you could have the following units all go out of compliance and still satisfy the minimum set aside test because the average affordability of the remaining 40 units is 52.50%.</w:t>
                  </w: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303399" w:rsidRPr="00303399">
                    <w:trPr>
                      <w:tblCellSpacing w:w="0" w:type="dxa"/>
                      <w:jc w:val="center"/>
                    </w:trPr>
                    <w:tc>
                      <w:tcPr>
                        <w:tcW w:w="5000" w:type="pct"/>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sz w:val="24"/>
                            <w:szCs w:val="24"/>
                          </w:rPr>
                          <w:lastRenderedPageBreak/>
                          <w:drawing>
                            <wp:inline distT="0" distB="0" distL="0" distR="0">
                              <wp:extent cx="4762500" cy="2590800"/>
                              <wp:effectExtent l="0" t="0" r="0" b="0"/>
                              <wp:docPr id="2" name="Picture 2" descr="https://mlsvc01-prod.s3.amazonaws.com/058a2e56be/6ae497f6-eadd-4252-a859-6912c5ab34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svc01-prod.s3.amazonaws.com/058a2e56be/6ae497f6-eadd-4252-a859-6912c5ab34b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590800"/>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000000"/>
                      <w:sz w:val="20"/>
                      <w:szCs w:val="20"/>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 xml:space="preserve">As can be seen in the examples above, an average income project will typically have a </w:t>
                  </w:r>
                  <w:proofErr w:type="gramStart"/>
                  <w:r w:rsidRPr="00303399">
                    <w:rPr>
                      <w:rFonts w:ascii="Century Gothic" w:eastAsia="Times New Roman" w:hAnsi="Century Gothic" w:cs="Times New Roman"/>
                      <w:color w:val="000000"/>
                      <w:sz w:val="18"/>
                      <w:szCs w:val="18"/>
                    </w:rPr>
                    <w:t>fairly large</w:t>
                  </w:r>
                  <w:proofErr w:type="gramEnd"/>
                  <w:r w:rsidRPr="00303399">
                    <w:rPr>
                      <w:rFonts w:ascii="Century Gothic" w:eastAsia="Times New Roman" w:hAnsi="Century Gothic" w:cs="Times New Roman"/>
                      <w:color w:val="000000"/>
                      <w:sz w:val="18"/>
                      <w:szCs w:val="18"/>
                    </w:rPr>
                    <w:t xml:space="preserve"> buffer before it be deemed to fail the minimum set aside. Unless a project is a mixed income project that is already at or close to the minimum set aside, one unit going out of compliance will never cause the project to fail the minimum set aside.</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p w:rsidR="00303399" w:rsidRPr="00303399" w:rsidRDefault="00303399" w:rsidP="00303399">
                  <w:pPr>
                    <w:spacing w:after="0" w:line="240" w:lineRule="auto"/>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Here at Dominium, we are always happy to talk to you about this. We love income averaging! If you'd like to speak with us please feel free to reach out at </w:t>
                  </w:r>
                  <w:hyperlink r:id="rId14" w:tgtFrame="_blank" w:history="1">
                    <w:r w:rsidRPr="00303399">
                      <w:rPr>
                        <w:rFonts w:ascii="Century Gothic" w:eastAsia="Times New Roman" w:hAnsi="Century Gothic" w:cs="Times New Roman"/>
                        <w:b/>
                        <w:bCs/>
                        <w:color w:val="000000"/>
                        <w:sz w:val="18"/>
                        <w:szCs w:val="18"/>
                        <w:u w:val="single"/>
                      </w:rPr>
                      <w:t>IncomeAveraging@dominiuminc.com</w:t>
                    </w:r>
                  </w:hyperlink>
                  <w:r w:rsidRPr="00303399">
                    <w:rPr>
                      <w:rFonts w:ascii="Century Gothic" w:eastAsia="Times New Roman" w:hAnsi="Century Gothic" w:cs="Times New Roman"/>
                      <w:color w:val="000000"/>
                      <w:sz w:val="18"/>
                      <w:szCs w:val="18"/>
                    </w:rPr>
                    <w:t> In addition, you can visit us at the 2018 AHF Live Summit in Chicago this week (November 12 and 13th) and at the Novogradac 2018 Tax Credit Housing Finance Conference in Las Vegas at the end of the month.</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p w:rsidR="00303399" w:rsidRDefault="00303399" w:rsidP="00303399">
                  <w:pPr>
                    <w:spacing w:after="0" w:line="240" w:lineRule="auto"/>
                    <w:jc w:val="both"/>
                    <w:rPr>
                      <w:rFonts w:ascii="Century Gothic" w:eastAsia="Times New Roman" w:hAnsi="Century Gothic" w:cs="Times New Roman"/>
                      <w:color w:val="000000"/>
                      <w:sz w:val="18"/>
                      <w:szCs w:val="18"/>
                    </w:rPr>
                  </w:pPr>
                  <w:r w:rsidRPr="00303399">
                    <w:rPr>
                      <w:rFonts w:ascii="Century Gothic" w:eastAsia="Times New Roman" w:hAnsi="Century Gothic" w:cs="Times New Roman"/>
                      <w:color w:val="000000"/>
                      <w:sz w:val="18"/>
                      <w:szCs w:val="18"/>
                    </w:rPr>
                    <w:t>In closing, I hope we can all help spread the word that there is no cliff! If we don't, then we could lose this new and amazing option to serve low-income households!</w:t>
                  </w:r>
                </w:p>
                <w:p w:rsidR="00303399" w:rsidRPr="00303399" w:rsidRDefault="00303399" w:rsidP="00303399">
                  <w:pPr>
                    <w:spacing w:after="0" w:line="240" w:lineRule="auto"/>
                    <w:jc w:val="both"/>
                    <w:rPr>
                      <w:rFonts w:ascii="Century Gothic" w:eastAsia="Times New Roman" w:hAnsi="Century Gothic" w:cs="Times New Roman"/>
                      <w:color w:val="000000"/>
                      <w:sz w:val="18"/>
                      <w:szCs w:val="18"/>
                    </w:rPr>
                  </w:pPr>
                </w:p>
              </w:tc>
            </w:tr>
          </w:tbl>
          <w:p w:rsidR="00303399" w:rsidRPr="00303399" w:rsidRDefault="00303399" w:rsidP="00303399">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03399" w:rsidRPr="00303399">
              <w:trPr>
                <w:tblCellSpacing w:w="0" w:type="dxa"/>
                <w:jc w:val="center"/>
              </w:trPr>
              <w:tc>
                <w:tcPr>
                  <w:tcW w:w="0" w:type="auto"/>
                  <w:tcMar>
                    <w:top w:w="120" w:type="dxa"/>
                    <w:left w:w="300" w:type="dxa"/>
                    <w:bottom w:w="135" w:type="dxa"/>
                    <w:right w:w="300" w:type="dxa"/>
                  </w:tcMar>
                  <w:hideMark/>
                </w:tcPr>
                <w:tbl>
                  <w:tblPr>
                    <w:tblW w:w="3315" w:type="dxa"/>
                    <w:jc w:val="center"/>
                    <w:tblCellSpacing w:w="0" w:type="dxa"/>
                    <w:tblCellMar>
                      <w:left w:w="0" w:type="dxa"/>
                      <w:right w:w="0" w:type="dxa"/>
                    </w:tblCellMar>
                    <w:tblLook w:val="04A0" w:firstRow="1" w:lastRow="0" w:firstColumn="1" w:lastColumn="0" w:noHBand="0" w:noVBand="1"/>
                  </w:tblPr>
                  <w:tblGrid>
                    <w:gridCol w:w="3315"/>
                  </w:tblGrid>
                  <w:tr w:rsidR="00303399" w:rsidRPr="00303399" w:rsidTr="00303399">
                    <w:trPr>
                      <w:tblCellSpacing w:w="0" w:type="dxa"/>
                      <w:jc w:val="center"/>
                    </w:trPr>
                    <w:tc>
                      <w:tcPr>
                        <w:tcW w:w="5000" w:type="pct"/>
                        <w:tcMar>
                          <w:top w:w="150" w:type="dxa"/>
                          <w:left w:w="150" w:type="dxa"/>
                          <w:bottom w:w="150" w:type="dxa"/>
                          <w:right w:w="150" w:type="dxa"/>
                        </w:tcMar>
                        <w:vAlign w:val="center"/>
                        <w:hideMark/>
                      </w:tcPr>
                      <w:p w:rsidR="00303399" w:rsidRPr="00303399" w:rsidRDefault="00303399" w:rsidP="00303399">
                        <w:pPr>
                          <w:spacing w:after="0" w:line="240" w:lineRule="auto"/>
                          <w:jc w:val="center"/>
                          <w:rPr>
                            <w:rFonts w:ascii="Times New Roman" w:eastAsia="Times New Roman" w:hAnsi="Times New Roman" w:cs="Times New Roman"/>
                            <w:sz w:val="24"/>
                            <w:szCs w:val="24"/>
                          </w:rPr>
                        </w:pPr>
                        <w:r w:rsidRPr="00303399">
                          <w:rPr>
                            <w:rFonts w:ascii="Times New Roman" w:eastAsia="Times New Roman" w:hAnsi="Times New Roman" w:cs="Times New Roman"/>
                            <w:noProof/>
                            <w:color w:val="0000FF"/>
                            <w:sz w:val="24"/>
                            <w:szCs w:val="24"/>
                          </w:rPr>
                          <w:drawing>
                            <wp:inline distT="0" distB="0" distL="0" distR="0">
                              <wp:extent cx="1905000" cy="323850"/>
                              <wp:effectExtent l="0" t="0" r="0" b="0"/>
                              <wp:docPr id="1" name="Picture 1" descr="https://mlsvc01-prod.s3.amazonaws.com/058a2e56be/51752e30-7176-4a98-b4d2-432db3f63a9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svc01-prod.s3.amazonaws.com/058a2e56be/51752e30-7176-4a98-b4d2-432db3f63a9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inline>
                          </w:drawing>
                        </w:r>
                      </w:p>
                    </w:tc>
                  </w:tr>
                </w:tbl>
                <w:p w:rsidR="00303399" w:rsidRPr="00303399" w:rsidRDefault="00303399" w:rsidP="00303399">
                  <w:pPr>
                    <w:spacing w:after="0" w:line="240" w:lineRule="auto"/>
                    <w:jc w:val="center"/>
                    <w:rPr>
                      <w:rFonts w:ascii="Century Gothic" w:eastAsia="Times New Roman" w:hAnsi="Century Gothic" w:cs="Times New Roman"/>
                      <w:color w:val="1F1F1F"/>
                      <w:sz w:val="18"/>
                      <w:szCs w:val="18"/>
                    </w:rPr>
                  </w:pPr>
                  <w:r w:rsidRPr="00303399">
                    <w:rPr>
                      <w:rFonts w:ascii="Century Gothic" w:eastAsia="Times New Roman" w:hAnsi="Century Gothic" w:cs="Times New Roman"/>
                      <w:color w:val="1F1F1F"/>
                      <w:sz w:val="18"/>
                      <w:szCs w:val="18"/>
                    </w:rPr>
                    <w:t>2905 Northwest Blvd. Suite 150 | Plymouth, MN, 55441</w:t>
                  </w:r>
                </w:p>
              </w:tc>
            </w:tr>
          </w:tbl>
          <w:p w:rsidR="00303399" w:rsidRPr="00303399" w:rsidRDefault="00303399" w:rsidP="00303399">
            <w:pPr>
              <w:spacing w:after="0" w:line="240" w:lineRule="auto"/>
              <w:jc w:val="center"/>
              <w:rPr>
                <w:rFonts w:ascii="Times New Roman" w:eastAsia="Times New Roman" w:hAnsi="Times New Roman" w:cs="Times New Roman"/>
                <w:color w:val="000000"/>
                <w:sz w:val="27"/>
                <w:szCs w:val="27"/>
              </w:rPr>
            </w:pPr>
          </w:p>
        </w:tc>
      </w:tr>
    </w:tbl>
    <w:p w:rsidR="00B355B0" w:rsidRDefault="00303399">
      <w:bookmarkStart w:id="0" w:name="_GoBack"/>
      <w:bookmarkEnd w:id="0"/>
    </w:p>
    <w:sectPr w:rsidR="00B3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99"/>
    <w:rsid w:val="00303399"/>
    <w:rsid w:val="00812F6B"/>
    <w:rsid w:val="009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8559"/>
  <w15:chartTrackingRefBased/>
  <w15:docId w15:val="{C8DD1C1A-437F-4A9C-921E-DC98B7A2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399"/>
    <w:rPr>
      <w:b/>
      <w:bCs/>
    </w:rPr>
  </w:style>
  <w:style w:type="character" w:styleId="Hyperlink">
    <w:name w:val="Hyperlink"/>
    <w:basedOn w:val="DefaultParagraphFont"/>
    <w:uiPriority w:val="99"/>
    <w:semiHidden/>
    <w:unhideWhenUsed/>
    <w:rsid w:val="00303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926430">
      <w:bodyDiv w:val="1"/>
      <w:marLeft w:val="0"/>
      <w:marRight w:val="0"/>
      <w:marTop w:val="0"/>
      <w:marBottom w:val="0"/>
      <w:divBdr>
        <w:top w:val="none" w:sz="0" w:space="0" w:color="auto"/>
        <w:left w:val="none" w:sz="0" w:space="0" w:color="auto"/>
        <w:bottom w:val="none" w:sz="0" w:space="0" w:color="auto"/>
        <w:right w:val="none" w:sz="0" w:space="0" w:color="auto"/>
      </w:divBdr>
      <w:divsChild>
        <w:div w:id="47193816">
          <w:marLeft w:val="0"/>
          <w:marRight w:val="0"/>
          <w:marTop w:val="0"/>
          <w:marBottom w:val="0"/>
          <w:divBdr>
            <w:top w:val="none" w:sz="0" w:space="0" w:color="auto"/>
            <w:left w:val="none" w:sz="0" w:space="0" w:color="auto"/>
            <w:bottom w:val="none" w:sz="0" w:space="0" w:color="auto"/>
            <w:right w:val="none" w:sz="0" w:space="0" w:color="auto"/>
          </w:divBdr>
        </w:div>
        <w:div w:id="341277180">
          <w:marLeft w:val="450"/>
          <w:marRight w:val="0"/>
          <w:marTop w:val="0"/>
          <w:marBottom w:val="0"/>
          <w:divBdr>
            <w:top w:val="none" w:sz="0" w:space="0" w:color="auto"/>
            <w:left w:val="none" w:sz="0" w:space="0" w:color="auto"/>
            <w:bottom w:val="none" w:sz="0" w:space="0" w:color="auto"/>
            <w:right w:val="none" w:sz="0" w:space="0" w:color="auto"/>
          </w:divBdr>
        </w:div>
        <w:div w:id="1793473755">
          <w:marLeft w:val="450"/>
          <w:marRight w:val="0"/>
          <w:marTop w:val="0"/>
          <w:marBottom w:val="0"/>
          <w:divBdr>
            <w:top w:val="none" w:sz="0" w:space="0" w:color="auto"/>
            <w:left w:val="none" w:sz="0" w:space="0" w:color="auto"/>
            <w:bottom w:val="none" w:sz="0" w:space="0" w:color="auto"/>
            <w:right w:val="none" w:sz="0" w:space="0" w:color="auto"/>
          </w:divBdr>
        </w:div>
        <w:div w:id="863205447">
          <w:marLeft w:val="450"/>
          <w:marRight w:val="0"/>
          <w:marTop w:val="0"/>
          <w:marBottom w:val="0"/>
          <w:divBdr>
            <w:top w:val="none" w:sz="0" w:space="0" w:color="auto"/>
            <w:left w:val="none" w:sz="0" w:space="0" w:color="auto"/>
            <w:bottom w:val="none" w:sz="0" w:space="0" w:color="auto"/>
            <w:right w:val="none" w:sz="0" w:space="0" w:color="auto"/>
          </w:divBdr>
        </w:div>
        <w:div w:id="1754668985">
          <w:marLeft w:val="450"/>
          <w:marRight w:val="0"/>
          <w:marTop w:val="0"/>
          <w:marBottom w:val="0"/>
          <w:divBdr>
            <w:top w:val="none" w:sz="0" w:space="0" w:color="auto"/>
            <w:left w:val="none" w:sz="0" w:space="0" w:color="auto"/>
            <w:bottom w:val="none" w:sz="0" w:space="0" w:color="auto"/>
            <w:right w:val="none" w:sz="0" w:space="0" w:color="auto"/>
          </w:divBdr>
        </w:div>
        <w:div w:id="335495230">
          <w:marLeft w:val="900"/>
          <w:marRight w:val="0"/>
          <w:marTop w:val="0"/>
          <w:marBottom w:val="0"/>
          <w:divBdr>
            <w:top w:val="none" w:sz="0" w:space="0" w:color="auto"/>
            <w:left w:val="none" w:sz="0" w:space="0" w:color="auto"/>
            <w:bottom w:val="none" w:sz="0" w:space="0" w:color="auto"/>
            <w:right w:val="none" w:sz="0" w:space="0" w:color="auto"/>
          </w:divBdr>
        </w:div>
        <w:div w:id="858201543">
          <w:marLeft w:val="450"/>
          <w:marRight w:val="0"/>
          <w:marTop w:val="0"/>
          <w:marBottom w:val="0"/>
          <w:divBdr>
            <w:top w:val="none" w:sz="0" w:space="0" w:color="auto"/>
            <w:left w:val="none" w:sz="0" w:space="0" w:color="auto"/>
            <w:bottom w:val="none" w:sz="0" w:space="0" w:color="auto"/>
            <w:right w:val="none" w:sz="0" w:space="0" w:color="auto"/>
          </w:divBdr>
        </w:div>
        <w:div w:id="2035841348">
          <w:marLeft w:val="450"/>
          <w:marRight w:val="0"/>
          <w:marTop w:val="0"/>
          <w:marBottom w:val="0"/>
          <w:divBdr>
            <w:top w:val="none" w:sz="0" w:space="0" w:color="auto"/>
            <w:left w:val="none" w:sz="0" w:space="0" w:color="auto"/>
            <w:bottom w:val="none" w:sz="0" w:space="0" w:color="auto"/>
            <w:right w:val="none" w:sz="0" w:space="0" w:color="auto"/>
          </w:divBdr>
        </w:div>
        <w:div w:id="51586027">
          <w:marLeft w:val="450"/>
          <w:marRight w:val="0"/>
          <w:marTop w:val="0"/>
          <w:marBottom w:val="0"/>
          <w:divBdr>
            <w:top w:val="none" w:sz="0" w:space="0" w:color="auto"/>
            <w:left w:val="none" w:sz="0" w:space="0" w:color="auto"/>
            <w:bottom w:val="none" w:sz="0" w:space="0" w:color="auto"/>
            <w:right w:val="none" w:sz="0" w:space="0" w:color="auto"/>
          </w:divBdr>
        </w:div>
        <w:div w:id="1431849527">
          <w:marLeft w:val="0"/>
          <w:marRight w:val="0"/>
          <w:marTop w:val="0"/>
          <w:marBottom w:val="0"/>
          <w:divBdr>
            <w:top w:val="none" w:sz="0" w:space="0" w:color="auto"/>
            <w:left w:val="none" w:sz="0" w:space="0" w:color="auto"/>
            <w:bottom w:val="none" w:sz="0" w:space="0" w:color="auto"/>
            <w:right w:val="none" w:sz="0" w:space="0" w:color="auto"/>
          </w:divBdr>
          <w:divsChild>
            <w:div w:id="891573578">
              <w:marLeft w:val="450"/>
              <w:marRight w:val="0"/>
              <w:marTop w:val="0"/>
              <w:marBottom w:val="0"/>
              <w:divBdr>
                <w:top w:val="none" w:sz="0" w:space="0" w:color="auto"/>
                <w:left w:val="none" w:sz="0" w:space="0" w:color="auto"/>
                <w:bottom w:val="none" w:sz="0" w:space="0" w:color="auto"/>
                <w:right w:val="none" w:sz="0" w:space="0" w:color="auto"/>
              </w:divBdr>
            </w:div>
            <w:div w:id="590242479">
              <w:marLeft w:val="0"/>
              <w:marRight w:val="0"/>
              <w:marTop w:val="0"/>
              <w:marBottom w:val="0"/>
              <w:divBdr>
                <w:top w:val="none" w:sz="0" w:space="0" w:color="auto"/>
                <w:left w:val="none" w:sz="0" w:space="0" w:color="auto"/>
                <w:bottom w:val="none" w:sz="0" w:space="0" w:color="auto"/>
                <w:right w:val="none" w:sz="0" w:space="0" w:color="auto"/>
              </w:divBdr>
            </w:div>
            <w:div w:id="12387334">
              <w:marLeft w:val="450"/>
              <w:marRight w:val="0"/>
              <w:marTop w:val="0"/>
              <w:marBottom w:val="0"/>
              <w:divBdr>
                <w:top w:val="none" w:sz="0" w:space="0" w:color="auto"/>
                <w:left w:val="none" w:sz="0" w:space="0" w:color="auto"/>
                <w:bottom w:val="none" w:sz="0" w:space="0" w:color="auto"/>
                <w:right w:val="none" w:sz="0" w:space="0" w:color="auto"/>
              </w:divBdr>
            </w:div>
          </w:divsChild>
        </w:div>
        <w:div w:id="1541892602">
          <w:marLeft w:val="0"/>
          <w:marRight w:val="0"/>
          <w:marTop w:val="0"/>
          <w:marBottom w:val="0"/>
          <w:divBdr>
            <w:top w:val="none" w:sz="0" w:space="0" w:color="auto"/>
            <w:left w:val="none" w:sz="0" w:space="0" w:color="auto"/>
            <w:bottom w:val="none" w:sz="0" w:space="0" w:color="auto"/>
            <w:right w:val="none" w:sz="0" w:space="0" w:color="auto"/>
          </w:divBdr>
          <w:divsChild>
            <w:div w:id="2030448397">
              <w:marLeft w:val="450"/>
              <w:marRight w:val="0"/>
              <w:marTop w:val="0"/>
              <w:marBottom w:val="0"/>
              <w:divBdr>
                <w:top w:val="none" w:sz="0" w:space="0" w:color="auto"/>
                <w:left w:val="none" w:sz="0" w:space="0" w:color="auto"/>
                <w:bottom w:val="none" w:sz="0" w:space="0" w:color="auto"/>
                <w:right w:val="none" w:sz="0" w:space="0" w:color="auto"/>
              </w:divBdr>
            </w:div>
            <w:div w:id="686180217">
              <w:marLeft w:val="450"/>
              <w:marRight w:val="0"/>
              <w:marTop w:val="0"/>
              <w:marBottom w:val="0"/>
              <w:divBdr>
                <w:top w:val="none" w:sz="0" w:space="0" w:color="auto"/>
                <w:left w:val="none" w:sz="0" w:space="0" w:color="auto"/>
                <w:bottom w:val="none" w:sz="0" w:space="0" w:color="auto"/>
                <w:right w:val="none" w:sz="0" w:space="0" w:color="auto"/>
              </w:divBdr>
            </w:div>
            <w:div w:id="310642974">
              <w:marLeft w:val="450"/>
              <w:marRight w:val="0"/>
              <w:marTop w:val="0"/>
              <w:marBottom w:val="0"/>
              <w:divBdr>
                <w:top w:val="none" w:sz="0" w:space="0" w:color="auto"/>
                <w:left w:val="none" w:sz="0" w:space="0" w:color="auto"/>
                <w:bottom w:val="none" w:sz="0" w:space="0" w:color="auto"/>
                <w:right w:val="none" w:sz="0" w:space="0" w:color="auto"/>
              </w:divBdr>
            </w:div>
          </w:divsChild>
        </w:div>
        <w:div w:id="1622032181">
          <w:marLeft w:val="450"/>
          <w:marRight w:val="0"/>
          <w:marTop w:val="0"/>
          <w:marBottom w:val="0"/>
          <w:divBdr>
            <w:top w:val="none" w:sz="0" w:space="0" w:color="auto"/>
            <w:left w:val="none" w:sz="0" w:space="0" w:color="auto"/>
            <w:bottom w:val="none" w:sz="0" w:space="0" w:color="auto"/>
            <w:right w:val="none" w:sz="0" w:space="0" w:color="auto"/>
          </w:divBdr>
        </w:div>
        <w:div w:id="1697845514">
          <w:marLeft w:val="450"/>
          <w:marRight w:val="0"/>
          <w:marTop w:val="0"/>
          <w:marBottom w:val="0"/>
          <w:divBdr>
            <w:top w:val="none" w:sz="0" w:space="0" w:color="auto"/>
            <w:left w:val="none" w:sz="0" w:space="0" w:color="auto"/>
            <w:bottom w:val="none" w:sz="0" w:space="0" w:color="auto"/>
            <w:right w:val="none" w:sz="0" w:space="0" w:color="auto"/>
          </w:divBdr>
        </w:div>
        <w:div w:id="834106464">
          <w:marLeft w:val="450"/>
          <w:marRight w:val="0"/>
          <w:marTop w:val="0"/>
          <w:marBottom w:val="0"/>
          <w:divBdr>
            <w:top w:val="none" w:sz="0" w:space="0" w:color="auto"/>
            <w:left w:val="none" w:sz="0" w:space="0" w:color="auto"/>
            <w:bottom w:val="none" w:sz="0" w:space="0" w:color="auto"/>
            <w:right w:val="none" w:sz="0" w:space="0" w:color="auto"/>
          </w:divBdr>
        </w:div>
        <w:div w:id="1823353462">
          <w:marLeft w:val="450"/>
          <w:marRight w:val="0"/>
          <w:marTop w:val="0"/>
          <w:marBottom w:val="0"/>
          <w:divBdr>
            <w:top w:val="none" w:sz="0" w:space="0" w:color="auto"/>
            <w:left w:val="none" w:sz="0" w:space="0" w:color="auto"/>
            <w:bottom w:val="none" w:sz="0" w:space="0" w:color="auto"/>
            <w:right w:val="none" w:sz="0" w:space="0" w:color="auto"/>
          </w:divBdr>
        </w:div>
        <w:div w:id="70347862">
          <w:marLeft w:val="450"/>
          <w:marRight w:val="0"/>
          <w:marTop w:val="0"/>
          <w:marBottom w:val="160"/>
          <w:divBdr>
            <w:top w:val="none" w:sz="0" w:space="0" w:color="auto"/>
            <w:left w:val="none" w:sz="0" w:space="0" w:color="auto"/>
            <w:bottom w:val="none" w:sz="0" w:space="0" w:color="auto"/>
            <w:right w:val="none" w:sz="0" w:space="0" w:color="auto"/>
          </w:divBdr>
        </w:div>
        <w:div w:id="1167019058">
          <w:marLeft w:val="450"/>
          <w:marRight w:val="0"/>
          <w:marTop w:val="0"/>
          <w:marBottom w:val="0"/>
          <w:divBdr>
            <w:top w:val="none" w:sz="0" w:space="0" w:color="auto"/>
            <w:left w:val="none" w:sz="0" w:space="0" w:color="auto"/>
            <w:bottom w:val="none" w:sz="0" w:space="0" w:color="auto"/>
            <w:right w:val="none" w:sz="0" w:space="0" w:color="auto"/>
          </w:divBdr>
        </w:div>
        <w:div w:id="705912617">
          <w:marLeft w:val="450"/>
          <w:marRight w:val="0"/>
          <w:marTop w:val="0"/>
          <w:marBottom w:val="0"/>
          <w:divBdr>
            <w:top w:val="none" w:sz="0" w:space="0" w:color="auto"/>
            <w:left w:val="none" w:sz="0" w:space="0" w:color="auto"/>
            <w:bottom w:val="none" w:sz="0" w:space="0" w:color="auto"/>
            <w:right w:val="none" w:sz="0" w:space="0" w:color="auto"/>
          </w:divBdr>
        </w:div>
        <w:div w:id="1364012064">
          <w:marLeft w:val="450"/>
          <w:marRight w:val="0"/>
          <w:marTop w:val="0"/>
          <w:marBottom w:val="0"/>
          <w:divBdr>
            <w:top w:val="none" w:sz="0" w:space="0" w:color="auto"/>
            <w:left w:val="none" w:sz="0" w:space="0" w:color="auto"/>
            <w:bottom w:val="none" w:sz="0" w:space="0" w:color="auto"/>
            <w:right w:val="none" w:sz="0" w:space="0" w:color="auto"/>
          </w:divBdr>
        </w:div>
        <w:div w:id="1134369381">
          <w:marLeft w:val="450"/>
          <w:marRight w:val="0"/>
          <w:marTop w:val="0"/>
          <w:marBottom w:val="0"/>
          <w:divBdr>
            <w:top w:val="none" w:sz="0" w:space="0" w:color="auto"/>
            <w:left w:val="none" w:sz="0" w:space="0" w:color="auto"/>
            <w:bottom w:val="none" w:sz="0" w:space="0" w:color="auto"/>
            <w:right w:val="none" w:sz="0" w:space="0" w:color="auto"/>
          </w:divBdr>
        </w:div>
        <w:div w:id="2051613832">
          <w:marLeft w:val="450"/>
          <w:marRight w:val="0"/>
          <w:marTop w:val="0"/>
          <w:marBottom w:val="0"/>
          <w:divBdr>
            <w:top w:val="none" w:sz="0" w:space="0" w:color="auto"/>
            <w:left w:val="none" w:sz="0" w:space="0" w:color="auto"/>
            <w:bottom w:val="none" w:sz="0" w:space="0" w:color="auto"/>
            <w:right w:val="none" w:sz="0" w:space="0" w:color="auto"/>
          </w:divBdr>
        </w:div>
        <w:div w:id="152454287">
          <w:marLeft w:val="450"/>
          <w:marRight w:val="0"/>
          <w:marTop w:val="0"/>
          <w:marBottom w:val="0"/>
          <w:divBdr>
            <w:top w:val="none" w:sz="0" w:space="0" w:color="auto"/>
            <w:left w:val="none" w:sz="0" w:space="0" w:color="auto"/>
            <w:bottom w:val="none" w:sz="0" w:space="0" w:color="auto"/>
            <w:right w:val="none" w:sz="0" w:space="0" w:color="auto"/>
          </w:divBdr>
        </w:div>
        <w:div w:id="1175652946">
          <w:marLeft w:val="450"/>
          <w:marRight w:val="0"/>
          <w:marTop w:val="0"/>
          <w:marBottom w:val="0"/>
          <w:divBdr>
            <w:top w:val="none" w:sz="0" w:space="0" w:color="auto"/>
            <w:left w:val="none" w:sz="0" w:space="0" w:color="auto"/>
            <w:bottom w:val="none" w:sz="0" w:space="0" w:color="auto"/>
            <w:right w:val="none" w:sz="0" w:space="0" w:color="auto"/>
          </w:divBdr>
        </w:div>
        <w:div w:id="2106269526">
          <w:marLeft w:val="450"/>
          <w:marRight w:val="0"/>
          <w:marTop w:val="0"/>
          <w:marBottom w:val="0"/>
          <w:divBdr>
            <w:top w:val="none" w:sz="0" w:space="0" w:color="auto"/>
            <w:left w:val="none" w:sz="0" w:space="0" w:color="auto"/>
            <w:bottom w:val="none" w:sz="0" w:space="0" w:color="auto"/>
            <w:right w:val="none" w:sz="0" w:space="0" w:color="auto"/>
          </w:divBdr>
        </w:div>
        <w:div w:id="116022877">
          <w:marLeft w:val="450"/>
          <w:marRight w:val="0"/>
          <w:marTop w:val="0"/>
          <w:marBottom w:val="0"/>
          <w:divBdr>
            <w:top w:val="none" w:sz="0" w:space="0" w:color="auto"/>
            <w:left w:val="none" w:sz="0" w:space="0" w:color="auto"/>
            <w:bottom w:val="none" w:sz="0" w:space="0" w:color="auto"/>
            <w:right w:val="none" w:sz="0" w:space="0" w:color="auto"/>
          </w:divBdr>
        </w:div>
        <w:div w:id="1183469004">
          <w:marLeft w:val="450"/>
          <w:marRight w:val="0"/>
          <w:marTop w:val="0"/>
          <w:marBottom w:val="0"/>
          <w:divBdr>
            <w:top w:val="none" w:sz="0" w:space="0" w:color="auto"/>
            <w:left w:val="none" w:sz="0" w:space="0" w:color="auto"/>
            <w:bottom w:val="none" w:sz="0" w:space="0" w:color="auto"/>
            <w:right w:val="none" w:sz="0" w:space="0" w:color="auto"/>
          </w:divBdr>
        </w:div>
        <w:div w:id="1020199326">
          <w:marLeft w:val="450"/>
          <w:marRight w:val="0"/>
          <w:marTop w:val="0"/>
          <w:marBottom w:val="0"/>
          <w:divBdr>
            <w:top w:val="none" w:sz="0" w:space="0" w:color="auto"/>
            <w:left w:val="none" w:sz="0" w:space="0" w:color="auto"/>
            <w:bottom w:val="none" w:sz="0" w:space="0" w:color="auto"/>
            <w:right w:val="none" w:sz="0" w:space="0" w:color="auto"/>
          </w:divBdr>
        </w:div>
        <w:div w:id="1185363150">
          <w:marLeft w:val="0"/>
          <w:marRight w:val="0"/>
          <w:marTop w:val="0"/>
          <w:marBottom w:val="0"/>
          <w:divBdr>
            <w:top w:val="none" w:sz="0" w:space="0" w:color="auto"/>
            <w:left w:val="none" w:sz="0" w:space="0" w:color="auto"/>
            <w:bottom w:val="none" w:sz="0" w:space="0" w:color="auto"/>
            <w:right w:val="none" w:sz="0" w:space="0" w:color="auto"/>
          </w:divBdr>
          <w:divsChild>
            <w:div w:id="1352491490">
              <w:marLeft w:val="0"/>
              <w:marRight w:val="0"/>
              <w:marTop w:val="0"/>
              <w:marBottom w:val="0"/>
              <w:divBdr>
                <w:top w:val="none" w:sz="0" w:space="0" w:color="auto"/>
                <w:left w:val="none" w:sz="0" w:space="0" w:color="auto"/>
                <w:bottom w:val="none" w:sz="0" w:space="0" w:color="auto"/>
                <w:right w:val="none" w:sz="0" w:space="0" w:color="auto"/>
              </w:divBdr>
              <w:divsChild>
                <w:div w:id="6031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dominiumapartments.com/" TargetMode="External"/><Relationship Id="rId10" Type="http://schemas.openxmlformats.org/officeDocument/2006/relationships/image" Target="media/image6.png"/><Relationship Id="rId4" Type="http://schemas.openxmlformats.org/officeDocument/2006/relationships/hyperlink" Target="https://www.novoco.com/notes-from-novogradac/implementation-lihtc-income-averaging" TargetMode="External"/><Relationship Id="rId9" Type="http://schemas.openxmlformats.org/officeDocument/2006/relationships/image" Target="media/image5.png"/><Relationship Id="rId14" Type="http://schemas.openxmlformats.org/officeDocument/2006/relationships/hyperlink" Target="mailto:IncomeAveraging@dominium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Lindsay</dc:creator>
  <cp:keywords/>
  <dc:description/>
  <cp:lastModifiedBy>Johnson, Lindsay</cp:lastModifiedBy>
  <cp:revision>1</cp:revision>
  <dcterms:created xsi:type="dcterms:W3CDTF">2018-11-15T17:24:00Z</dcterms:created>
  <dcterms:modified xsi:type="dcterms:W3CDTF">2018-11-15T17:29:00Z</dcterms:modified>
</cp:coreProperties>
</file>