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49DE1" w14:textId="563C0481" w:rsidR="00E93403" w:rsidRDefault="00E93403">
      <w:r>
        <w:t xml:space="preserve">December </w:t>
      </w:r>
      <w:r w:rsidRPr="00E93403">
        <w:rPr>
          <w:highlight w:val="yellow"/>
        </w:rPr>
        <w:t>XX</w:t>
      </w:r>
      <w:r>
        <w:t>, 2020</w:t>
      </w:r>
      <w:r w:rsidR="00880097">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93403" w14:paraId="200C7B6D" w14:textId="77777777" w:rsidTr="00E93403">
        <w:tc>
          <w:tcPr>
            <w:tcW w:w="4675" w:type="dxa"/>
          </w:tcPr>
          <w:p w14:paraId="262A35E0" w14:textId="6C727BC3" w:rsidR="00E93403" w:rsidRPr="00E93403" w:rsidRDefault="00E93403" w:rsidP="00E93403">
            <w:pPr>
              <w:ind w:left="-120"/>
            </w:pPr>
            <w:r w:rsidRPr="00E93403">
              <w:t xml:space="preserve">Mr. Dillon Taylor </w:t>
            </w:r>
          </w:p>
          <w:p w14:paraId="45F634AE" w14:textId="731C1E08" w:rsidR="00AA2B01" w:rsidRDefault="00AA2B01" w:rsidP="00AA2B01">
            <w:pPr>
              <w:ind w:left="-120"/>
            </w:pPr>
            <w:r>
              <w:t>Attorney</w:t>
            </w:r>
            <w:r w:rsidR="00E93403">
              <w:br/>
              <w:t>Office of the Associate Chief Counsel</w:t>
            </w:r>
            <w:r w:rsidR="00E93403">
              <w:br/>
            </w:r>
            <w:r>
              <w:t xml:space="preserve">Internal Revenue Service </w:t>
            </w:r>
          </w:p>
          <w:p w14:paraId="7D31BD27" w14:textId="77777777" w:rsidR="00AA2B01" w:rsidRDefault="00AA2B01" w:rsidP="00AA2B01">
            <w:pPr>
              <w:ind w:left="-120"/>
            </w:pPr>
            <w:r>
              <w:t>1111 Constitution Avenue, NW</w:t>
            </w:r>
          </w:p>
          <w:p w14:paraId="4EC843B6" w14:textId="30BDD218" w:rsidR="00E93403" w:rsidRDefault="00AA2B01" w:rsidP="00AA2B01">
            <w:pPr>
              <w:ind w:left="-120"/>
            </w:pPr>
            <w:r>
              <w:t>Washington, DC 20224</w:t>
            </w:r>
          </w:p>
        </w:tc>
        <w:tc>
          <w:tcPr>
            <w:tcW w:w="4675" w:type="dxa"/>
          </w:tcPr>
          <w:p w14:paraId="11F2A9C7" w14:textId="77777777" w:rsidR="00AA2B01" w:rsidRDefault="00E93403" w:rsidP="00AA2B01">
            <w:r>
              <w:t xml:space="preserve">Mr. </w:t>
            </w:r>
            <w:r w:rsidRPr="00E93403">
              <w:t xml:space="preserve">Michael J. </w:t>
            </w:r>
            <w:proofErr w:type="spellStart"/>
            <w:r w:rsidRPr="00E93403">
              <w:t>Torruella</w:t>
            </w:r>
            <w:proofErr w:type="spellEnd"/>
            <w:r w:rsidR="00AA2B01">
              <w:t xml:space="preserve"> Costa</w:t>
            </w:r>
            <w:r>
              <w:br/>
            </w:r>
            <w:r w:rsidR="00AA2B01">
              <w:t>General Attorney (Tax)</w:t>
            </w:r>
            <w:r>
              <w:br/>
              <w:t>Office of the Associate Chief Counsel</w:t>
            </w:r>
            <w:r>
              <w:br/>
            </w:r>
            <w:r w:rsidR="00AA2B01">
              <w:t xml:space="preserve">Internal Revenue Service </w:t>
            </w:r>
          </w:p>
          <w:p w14:paraId="2567EA9F" w14:textId="77777777" w:rsidR="00AA2B01" w:rsidRDefault="00AA2B01" w:rsidP="00AA2B01">
            <w:r>
              <w:t>1111 Constitution Avenue, NW</w:t>
            </w:r>
          </w:p>
          <w:p w14:paraId="73DA7D79" w14:textId="1EA09980" w:rsidR="00E93403" w:rsidRDefault="00AA2B01" w:rsidP="00AA2B01">
            <w:r>
              <w:t>Washington, DC 20224</w:t>
            </w:r>
          </w:p>
        </w:tc>
      </w:tr>
    </w:tbl>
    <w:p w14:paraId="16D0BF23" w14:textId="0FC9A8E4" w:rsidR="00E93403" w:rsidRDefault="00E93403" w:rsidP="00E93403"/>
    <w:p w14:paraId="7299E4DC" w14:textId="7373C6D0" w:rsidR="004926F6" w:rsidRDefault="008B3B5B" w:rsidP="00E93403">
      <w:r w:rsidRPr="008B3B5B">
        <w:t xml:space="preserve">RE: Comments on Reg-119890-18 Regarding Low Income Housing Tax Credit Average Income Test Regulations </w:t>
      </w:r>
      <w:r w:rsidR="00937044">
        <w:br/>
      </w:r>
      <w:r w:rsidR="00937044">
        <w:br/>
      </w:r>
      <w:r w:rsidR="00E93403">
        <w:t xml:space="preserve">Dear Mr. Taylor and Mr. </w:t>
      </w:r>
      <w:proofErr w:type="spellStart"/>
      <w:r w:rsidR="00E93403" w:rsidRPr="00E93403">
        <w:t>Torruella</w:t>
      </w:r>
      <w:proofErr w:type="spellEnd"/>
      <w:r w:rsidR="00AA2B01">
        <w:t xml:space="preserve"> Costa</w:t>
      </w:r>
      <w:r w:rsidR="00E477EA">
        <w:t>:</w:t>
      </w:r>
      <w:r w:rsidR="00AA2B01">
        <w:t xml:space="preserve"> </w:t>
      </w:r>
      <w:r w:rsidR="006C1799">
        <w:br/>
      </w:r>
      <w:r w:rsidR="006C1799">
        <w:br/>
      </w:r>
      <w:r w:rsidR="00AA2B01">
        <w:t xml:space="preserve">Thank you for </w:t>
      </w:r>
      <w:r w:rsidR="006C1799">
        <w:t>all</w:t>
      </w:r>
      <w:r w:rsidR="00AA2B01">
        <w:t xml:space="preserve"> the </w:t>
      </w:r>
      <w:r w:rsidR="00880097">
        <w:t xml:space="preserve">time and </w:t>
      </w:r>
      <w:r w:rsidR="00AA2B01">
        <w:t>hard work that went into drafting the proposed</w:t>
      </w:r>
      <w:r w:rsidR="006C1799">
        <w:t xml:space="preserve"> Low Income Housing Credit (LIHTC)</w:t>
      </w:r>
      <w:r w:rsidR="00AA2B01">
        <w:t xml:space="preserve"> </w:t>
      </w:r>
      <w:r w:rsidR="006C1799">
        <w:t xml:space="preserve">Average Income Test </w:t>
      </w:r>
      <w:r w:rsidR="00937044">
        <w:t>proposed regulations</w:t>
      </w:r>
      <w:r w:rsidR="006C1799">
        <w:t xml:space="preserve">. We appreciate the opportunity to provide our comments to help shape the forthcoming final rule. We believe the </w:t>
      </w:r>
      <w:bookmarkStart w:id="0" w:name="_Hlk59113217"/>
      <w:r w:rsidR="00111282">
        <w:t>Average Income Minimum Set-Aside Election</w:t>
      </w:r>
      <w:bookmarkEnd w:id="0"/>
      <w:r w:rsidR="006C1799">
        <w:t xml:space="preserve"> as approved by Congress in </w:t>
      </w:r>
      <w:r w:rsidR="006C1799" w:rsidRPr="000F19AA">
        <w:t>2018</w:t>
      </w:r>
      <w:r w:rsidR="006C1799">
        <w:t xml:space="preserve"> offers great potential to serve both very low-income</w:t>
      </w:r>
      <w:r w:rsidR="00F949A3">
        <w:t xml:space="preserve"> (20 and 30 percent of area median income (AMI))</w:t>
      </w:r>
      <w:r w:rsidR="006C1799">
        <w:t xml:space="preserve"> and middle-income </w:t>
      </w:r>
      <w:r w:rsidR="000F19AA">
        <w:t>household</w:t>
      </w:r>
      <w:r w:rsidR="00870D77">
        <w:t>s</w:t>
      </w:r>
      <w:r w:rsidR="00F949A3">
        <w:t xml:space="preserve"> (70 and 80 percent of AMI)</w:t>
      </w:r>
      <w:r w:rsidR="006C1799">
        <w:t xml:space="preserve">, groups that historically </w:t>
      </w:r>
      <w:r w:rsidR="008B5134">
        <w:t xml:space="preserve">have </w:t>
      </w:r>
      <w:r w:rsidR="006C1799">
        <w:t>been hard to include</w:t>
      </w:r>
      <w:r w:rsidR="000F19AA">
        <w:t xml:space="preserve"> in the LIHTC program</w:t>
      </w:r>
      <w:r w:rsidR="006C1799">
        <w:t xml:space="preserve">. </w:t>
      </w:r>
      <w:r w:rsidR="749ADF40">
        <w:t>Unfortunately,</w:t>
      </w:r>
      <w:r w:rsidR="006C1799">
        <w:t xml:space="preserve"> </w:t>
      </w:r>
      <w:r w:rsidR="004926F6">
        <w:t>the Internal Revenue Service’s (IRS)</w:t>
      </w:r>
      <w:r w:rsidR="006C1799">
        <w:t xml:space="preserve"> </w:t>
      </w:r>
      <w:r w:rsidR="00880644">
        <w:t xml:space="preserve">proposed </w:t>
      </w:r>
      <w:r w:rsidR="000F19AA">
        <w:t>rule</w:t>
      </w:r>
      <w:r w:rsidR="00036CA7">
        <w:t>,</w:t>
      </w:r>
      <w:r w:rsidR="000F19AA">
        <w:t xml:space="preserve"> as </w:t>
      </w:r>
      <w:r w:rsidR="78180B9E">
        <w:t xml:space="preserve">currently </w:t>
      </w:r>
      <w:r w:rsidR="61BF9C05">
        <w:t>drafted</w:t>
      </w:r>
      <w:r w:rsidR="00036CA7">
        <w:t>,</w:t>
      </w:r>
      <w:r w:rsidR="000F19AA">
        <w:t xml:space="preserve"> </w:t>
      </w:r>
      <w:r w:rsidR="006C1799">
        <w:t xml:space="preserve">is fundamentally </w:t>
      </w:r>
      <w:proofErr w:type="gramStart"/>
      <w:r w:rsidR="006C1799">
        <w:t>flawed</w:t>
      </w:r>
      <w:proofErr w:type="gramEnd"/>
      <w:r w:rsidR="006C1799">
        <w:t xml:space="preserve"> and </w:t>
      </w:r>
      <w:r w:rsidR="6A7AA8DE">
        <w:t xml:space="preserve">does not conform </w:t>
      </w:r>
      <w:r w:rsidR="2EFC45A9">
        <w:t xml:space="preserve">to </w:t>
      </w:r>
      <w:r w:rsidR="6A7AA8DE">
        <w:t xml:space="preserve">Congressional intent. </w:t>
      </w:r>
      <w:r w:rsidR="24C1234D">
        <w:t>A</w:t>
      </w:r>
      <w:r w:rsidR="006C1799">
        <w:t xml:space="preserve">s such, </w:t>
      </w:r>
      <w:r w:rsidR="4F328EEF">
        <w:t xml:space="preserve">the proposed rule, </w:t>
      </w:r>
      <w:r w:rsidR="006C1799">
        <w:t xml:space="preserve">as </w:t>
      </w:r>
      <w:r w:rsidR="4F328EEF">
        <w:t>currently drafted</w:t>
      </w:r>
      <w:r w:rsidR="006C1799">
        <w:t xml:space="preserve">, would result in an unworkable minimum set-aside </w:t>
      </w:r>
      <w:r w:rsidR="004926F6">
        <w:t xml:space="preserve">election </w:t>
      </w:r>
      <w:r w:rsidR="006C1799">
        <w:t xml:space="preserve">that will go unused by the affordable housing development community. </w:t>
      </w:r>
    </w:p>
    <w:p w14:paraId="49A2CC01" w14:textId="7340402E" w:rsidR="00AA2B01" w:rsidRDefault="00E56ED3" w:rsidP="00E93403">
      <w:r>
        <w:t xml:space="preserve">Our </w:t>
      </w:r>
      <w:r w:rsidR="006C1799">
        <w:t>deep</w:t>
      </w:r>
      <w:r>
        <w:t>,</w:t>
      </w:r>
      <w:r w:rsidR="006C1799">
        <w:t xml:space="preserve"> on-the-ground experienc</w:t>
      </w:r>
      <w:r w:rsidR="00A7367F">
        <w:t>e</w:t>
      </w:r>
      <w:r>
        <w:t xml:space="preserve"> </w:t>
      </w:r>
      <w:r w:rsidR="00AA23C0">
        <w:t>managing</w:t>
      </w:r>
      <w:r w:rsidR="00B64A32">
        <w:t xml:space="preserve"> the </w:t>
      </w:r>
      <w:r w:rsidR="00AA23C0">
        <w:t xml:space="preserve">leasing and compliance </w:t>
      </w:r>
      <w:r w:rsidR="003E3452">
        <w:t xml:space="preserve">of </w:t>
      </w:r>
      <w:r w:rsidR="167E471A" w:rsidRPr="0AB5D537">
        <w:rPr>
          <w:highlight w:val="yellow"/>
        </w:rPr>
        <w:t>hundreds/</w:t>
      </w:r>
      <w:r w:rsidR="003E3452" w:rsidRPr="0AB5D537">
        <w:rPr>
          <w:highlight w:val="yellow"/>
        </w:rPr>
        <w:t>thousands</w:t>
      </w:r>
      <w:r w:rsidR="003E3452">
        <w:t xml:space="preserve"> </w:t>
      </w:r>
      <w:r w:rsidR="00D55AB6">
        <w:t xml:space="preserve">of </w:t>
      </w:r>
      <w:r w:rsidR="00AA23C0">
        <w:t xml:space="preserve">LIHTC </w:t>
      </w:r>
      <w:r w:rsidR="00D55AB6">
        <w:t xml:space="preserve">properties, including </w:t>
      </w:r>
      <w:r w:rsidR="7E5B1A77" w:rsidRPr="0AB5D537">
        <w:rPr>
          <w:highlight w:val="yellow"/>
        </w:rPr>
        <w:t>several</w:t>
      </w:r>
      <w:r w:rsidR="00D55AB6">
        <w:t xml:space="preserve"> that hav</w:t>
      </w:r>
      <w:r w:rsidR="006679F6">
        <w:t>e already made the average income election,</w:t>
      </w:r>
      <w:r w:rsidR="00AA23C0">
        <w:t xml:space="preserve"> </w:t>
      </w:r>
      <w:r>
        <w:t xml:space="preserve">gives us unique insight </w:t>
      </w:r>
      <w:r w:rsidR="00AA23C0">
        <w:t>into</w:t>
      </w:r>
      <w:r w:rsidR="00A65CB3">
        <w:t xml:space="preserve"> </w:t>
      </w:r>
      <w:r w:rsidR="00F02150">
        <w:t xml:space="preserve">insurmountable </w:t>
      </w:r>
      <w:r w:rsidR="00A65CB3">
        <w:t>barriers</w:t>
      </w:r>
      <w:r>
        <w:t xml:space="preserve"> the </w:t>
      </w:r>
      <w:r w:rsidR="006C1799">
        <w:t>proposed regulations</w:t>
      </w:r>
      <w:r w:rsidR="00A7367F">
        <w:t>,</w:t>
      </w:r>
      <w:r w:rsidR="006C1799">
        <w:t xml:space="preserve"> as currently drafted</w:t>
      </w:r>
      <w:r w:rsidR="00A7367F">
        <w:t>,</w:t>
      </w:r>
      <w:r w:rsidR="006C1799">
        <w:t xml:space="preserve"> would </w:t>
      </w:r>
      <w:r w:rsidR="00A65CB3">
        <w:t>create</w:t>
      </w:r>
      <w:r w:rsidR="00E87D1A">
        <w:t xml:space="preserve">. </w:t>
      </w:r>
      <w:r w:rsidR="006C1799">
        <w:t xml:space="preserve"> </w:t>
      </w:r>
      <w:r w:rsidR="004926F6">
        <w:t xml:space="preserve">We present brief comments below </w:t>
      </w:r>
      <w:r w:rsidR="00F02150">
        <w:t xml:space="preserve">with the aim of making recommendations that would </w:t>
      </w:r>
      <w:r w:rsidR="001F2425">
        <w:t xml:space="preserve">make </w:t>
      </w:r>
      <w:r w:rsidR="006B7423">
        <w:t>the regulations functional</w:t>
      </w:r>
      <w:r w:rsidR="001F2425">
        <w:t xml:space="preserve"> and practicable in </w:t>
      </w:r>
      <w:r w:rsidR="00D55AB6">
        <w:t>an operational context. We also</w:t>
      </w:r>
      <w:r w:rsidR="004926F6">
        <w:t xml:space="preserve"> support the comments of our industry colleagues like the</w:t>
      </w:r>
      <w:r w:rsidR="00A7367F">
        <w:t xml:space="preserve"> National Housing &amp; Rehabilitation Association, the</w:t>
      </w:r>
      <w:r w:rsidR="004926F6">
        <w:t xml:space="preserve"> National Council of State Housing Agencies, the Affordable Housing Investors Council, the Affordable Housing Tax Credit Coalition, </w:t>
      </w:r>
      <w:r w:rsidR="00035FD3">
        <w:t xml:space="preserve">the LIHTC Working Group hosted by Novogradac, </w:t>
      </w:r>
      <w:r w:rsidR="004926F6">
        <w:t>Dominium and many others.</w:t>
      </w:r>
    </w:p>
    <w:p w14:paraId="49404F25" w14:textId="2B62E035" w:rsidR="006C1799" w:rsidRDefault="004926F6" w:rsidP="00E93403">
      <w:r w:rsidRPr="004926F6">
        <w:rPr>
          <w:highlight w:val="yellow"/>
        </w:rPr>
        <w:t>Insert paragraph(s) on your organization, # of average income deals</w:t>
      </w:r>
      <w:r w:rsidR="00D64F16">
        <w:rPr>
          <w:highlight w:val="yellow"/>
        </w:rPr>
        <w:t xml:space="preserve"> in the ground</w:t>
      </w:r>
      <w:r w:rsidRPr="004926F6">
        <w:rPr>
          <w:highlight w:val="yellow"/>
        </w:rPr>
        <w:t>,</w:t>
      </w:r>
      <w:r w:rsidR="00D64F16">
        <w:rPr>
          <w:highlight w:val="yellow"/>
        </w:rPr>
        <w:t xml:space="preserve"> # of average income deals you had in your pipeline and how </w:t>
      </w:r>
      <w:proofErr w:type="gramStart"/>
      <w:r w:rsidR="00D64F16">
        <w:rPr>
          <w:highlight w:val="yellow"/>
        </w:rPr>
        <w:t>you’ve</w:t>
      </w:r>
      <w:proofErr w:type="gramEnd"/>
      <w:r w:rsidR="00D64F16">
        <w:rPr>
          <w:highlight w:val="yellow"/>
        </w:rPr>
        <w:t xml:space="preserve"> adjusted them because of the proposed rule, and/or</w:t>
      </w:r>
      <w:r w:rsidRPr="004926F6">
        <w:rPr>
          <w:highlight w:val="yellow"/>
        </w:rPr>
        <w:t xml:space="preserve"> why you believe in/care about average income.</w:t>
      </w:r>
      <w:r>
        <w:t xml:space="preserve"> </w:t>
      </w:r>
    </w:p>
    <w:p w14:paraId="0D2BCC6D" w14:textId="0DFF0665" w:rsidR="005758E7" w:rsidRDefault="00035FD3" w:rsidP="00E93403">
      <w:r>
        <w:t xml:space="preserve">The proposed regulations, as currently drafted, put affordable housing owners and operators in the impossible conundrum of choosing which federal law to violate: </w:t>
      </w:r>
      <w:proofErr w:type="gramStart"/>
      <w:r w:rsidR="002D1C01">
        <w:t>the</w:t>
      </w:r>
      <w:proofErr w:type="gramEnd"/>
      <w:r w:rsidR="002D1C01">
        <w:t xml:space="preserve"> Fair Housing Act of 1968</w:t>
      </w:r>
      <w:r w:rsidR="002A537E">
        <w:t>,</w:t>
      </w:r>
      <w:r w:rsidR="002D1C01">
        <w:t xml:space="preserve"> as amended, the Violence Against Women Act of 1994</w:t>
      </w:r>
      <w:r w:rsidR="002A537E">
        <w:t>,</w:t>
      </w:r>
      <w:r w:rsidR="002D1C01">
        <w:t xml:space="preserve"> as amended or Section 504 of the Rehabilitation Act of 1973</w:t>
      </w:r>
      <w:r w:rsidR="002A537E">
        <w:t>,</w:t>
      </w:r>
      <w:r w:rsidR="002D1C01">
        <w:t xml:space="preserve"> as amended. </w:t>
      </w:r>
      <w:r w:rsidR="00A91524">
        <w:t>The</w:t>
      </w:r>
      <w:r w:rsidR="002D1C01">
        <w:t xml:space="preserve"> proposed regulation also set</w:t>
      </w:r>
      <w:r w:rsidR="002A537E">
        <w:t>s</w:t>
      </w:r>
      <w:r w:rsidR="002D1C01">
        <w:t xml:space="preserve"> up conflict with countless agency rules and guidance on everything from the U.S. Department of Housing and Urban Development’s HOME Investment Partnership, Section 8 and National Housing Trust Fund programs to U.S. Department of Agriculture Rural Development and tax-exempt bonds. The </w:t>
      </w:r>
      <w:r w:rsidR="00760B40">
        <w:t xml:space="preserve">Average Income Minimum Set-Aside Election </w:t>
      </w:r>
      <w:r w:rsidR="002D1C01">
        <w:lastRenderedPageBreak/>
        <w:t>does not exist in a vacuum. The U.S. Department of the Treasury</w:t>
      </w:r>
      <w:r w:rsidR="00AA1D70">
        <w:t xml:space="preserve"> (Treasury)</w:t>
      </w:r>
      <w:r w:rsidR="002D1C01">
        <w:t xml:space="preserve"> and the </w:t>
      </w:r>
      <w:r w:rsidR="00AA1D70">
        <w:t>IRS</w:t>
      </w:r>
      <w:r w:rsidR="002D1C01">
        <w:t xml:space="preserve"> </w:t>
      </w:r>
      <w:r w:rsidR="002D1C01" w:rsidRPr="00870D77">
        <w:t>must</w:t>
      </w:r>
      <w:r w:rsidR="002D1C01">
        <w:t xml:space="preserve"> consider the consequences of its rules alongside the other federal programs that make the financing and development of affordable housing possible. </w:t>
      </w:r>
    </w:p>
    <w:p w14:paraId="53540F6F" w14:textId="2AF152E7" w:rsidR="00737D98" w:rsidRDefault="00542D07" w:rsidP="00E93403">
      <w:r>
        <w:t>In addition to risking compliance with other federal laws and regulations, we observe that t</w:t>
      </w:r>
      <w:r w:rsidR="00D64F16">
        <w:t xml:space="preserve">he penalty for noncompliance in </w:t>
      </w:r>
      <w:r>
        <w:t xml:space="preserve">draft regulations is </w:t>
      </w:r>
      <w:r w:rsidR="003F0F33">
        <w:t xml:space="preserve">out of proportion with the LIHTCs </w:t>
      </w:r>
      <w:r w:rsidR="00D64F16">
        <w:t xml:space="preserve">other two </w:t>
      </w:r>
      <w:r w:rsidR="003F0F33">
        <w:t>election</w:t>
      </w:r>
      <w:r w:rsidR="00D64F16">
        <w:t xml:space="preserve"> designations (40 percent of units at 60 percent of AMI</w:t>
      </w:r>
      <w:r w:rsidR="0023386E">
        <w:t xml:space="preserve"> </w:t>
      </w:r>
      <w:r w:rsidR="00D64F16">
        <w:t>and 20 percent of units at 50 percent of AMI)</w:t>
      </w:r>
      <w:r w:rsidR="003F0F33">
        <w:t>. In the 40</w:t>
      </w:r>
      <w:r w:rsidR="2BCECBEB">
        <w:t xml:space="preserve"> at </w:t>
      </w:r>
      <w:r w:rsidR="003F0F33">
        <w:t>60 and 20</w:t>
      </w:r>
      <w:r w:rsidR="75D3F39B">
        <w:t xml:space="preserve"> at </w:t>
      </w:r>
      <w:r w:rsidR="003F0F33">
        <w:t xml:space="preserve">50 elections, </w:t>
      </w:r>
      <w:r w:rsidR="00F656D4">
        <w:t>non-compliance on a</w:t>
      </w:r>
      <w:r w:rsidR="00213A70">
        <w:t>n individual</w:t>
      </w:r>
      <w:r w:rsidR="00F656D4">
        <w:t xml:space="preserve"> unit level </w:t>
      </w:r>
      <w:r w:rsidR="00213A70">
        <w:t xml:space="preserve">generally </w:t>
      </w:r>
      <w:r w:rsidR="00F656D4">
        <w:t>results in</w:t>
      </w:r>
      <w:r w:rsidR="00D64F16">
        <w:t xml:space="preserve"> the inability of investors to claim credits on the specific units that are out of compliance in any given year</w:t>
      </w:r>
      <w:r w:rsidR="00213A70">
        <w:t xml:space="preserve"> because t</w:t>
      </w:r>
      <w:r w:rsidR="009E510E">
        <w:t>ransactions are structured to have some cushion so as not to fail to meet the minimum set-asides</w:t>
      </w:r>
      <w:r w:rsidR="00D64F16">
        <w:t xml:space="preserve">. </w:t>
      </w:r>
    </w:p>
    <w:p w14:paraId="3054B1CE" w14:textId="7659C9E6" w:rsidR="00280D3D" w:rsidRDefault="00737D98" w:rsidP="00E93403">
      <w:r>
        <w:t>Under t</w:t>
      </w:r>
      <w:r w:rsidR="00D64F16">
        <w:t xml:space="preserve">he </w:t>
      </w:r>
      <w:r w:rsidR="00664677">
        <w:t xml:space="preserve">proposed regulations, the penalty for noncompliance </w:t>
      </w:r>
      <w:r w:rsidR="00686595">
        <w:t>in</w:t>
      </w:r>
      <w:r w:rsidR="00664677">
        <w:t xml:space="preserve"> </w:t>
      </w:r>
      <w:r w:rsidR="00B502DD">
        <w:t>properties</w:t>
      </w:r>
      <w:r w:rsidR="003576C3">
        <w:t xml:space="preserve"> </w:t>
      </w:r>
      <w:r w:rsidR="05BBDC06">
        <w:t xml:space="preserve">using the Average Income Minimum Set-Aside Election </w:t>
      </w:r>
      <w:r w:rsidR="003576C3">
        <w:t>would generally result</w:t>
      </w:r>
      <w:r w:rsidR="00664677">
        <w:t xml:space="preserve"> the inability of investors to claim tax credits </w:t>
      </w:r>
      <w:r w:rsidR="00664677">
        <w:rPr>
          <w:i/>
          <w:iCs/>
        </w:rPr>
        <w:t>on the entire property</w:t>
      </w:r>
      <w:r w:rsidR="00664677">
        <w:t xml:space="preserve"> if just one unit is out of compliance. </w:t>
      </w:r>
      <w:r w:rsidR="00280D3D">
        <w:t xml:space="preserve">This penalty is made </w:t>
      </w:r>
      <w:proofErr w:type="gramStart"/>
      <w:r w:rsidR="00280D3D">
        <w:t>all the more</w:t>
      </w:r>
      <w:proofErr w:type="gramEnd"/>
      <w:r w:rsidR="00280D3D">
        <w:t xml:space="preserve"> terrifying if the noncompliance happens in the first year, at which point the entire </w:t>
      </w:r>
      <w:r w:rsidR="00A72030">
        <w:t>property</w:t>
      </w:r>
      <w:r w:rsidR="00280D3D">
        <w:t xml:space="preserve"> would lose the ability to claim credits </w:t>
      </w:r>
      <w:r w:rsidR="00280D3D" w:rsidRPr="00686595">
        <w:rPr>
          <w:i/>
          <w:iCs/>
        </w:rPr>
        <w:t>in perpetuity</w:t>
      </w:r>
      <w:r w:rsidR="00280D3D">
        <w:t>. Given these enormous risks, combined with a 60-day cure period</w:t>
      </w:r>
      <w:r w:rsidR="0077501E">
        <w:t xml:space="preserve"> and the inability to </w:t>
      </w:r>
      <w:r w:rsidR="00C32277">
        <w:t>change unit designations</w:t>
      </w:r>
      <w:r w:rsidR="00280D3D">
        <w:t xml:space="preserve">, investors, </w:t>
      </w:r>
      <w:proofErr w:type="gramStart"/>
      <w:r w:rsidR="00280D3D">
        <w:t>syndicators</w:t>
      </w:r>
      <w:proofErr w:type="gramEnd"/>
      <w:r w:rsidR="00280D3D">
        <w:t xml:space="preserve"> and developers simply </w:t>
      </w:r>
      <w:r w:rsidR="00457730">
        <w:t xml:space="preserve">would </w:t>
      </w:r>
      <w:r w:rsidR="00280D3D">
        <w:t xml:space="preserve">not elect to use the </w:t>
      </w:r>
      <w:r w:rsidR="008B4F5A">
        <w:t>Average Income Minimum Set-Aside Election</w:t>
      </w:r>
      <w:r w:rsidR="00280D3D">
        <w:t xml:space="preserve">. </w:t>
      </w:r>
    </w:p>
    <w:p w14:paraId="2A39CB73" w14:textId="5957D52F" w:rsidR="00604F08" w:rsidRDefault="00CC5DD2" w:rsidP="00604F08">
      <w:r>
        <w:t>Furthermore, t</w:t>
      </w:r>
      <w:r w:rsidR="007F08F1">
        <w:t>he proposed 60-day cure period</w:t>
      </w:r>
      <w:r w:rsidR="00604F08">
        <w:t xml:space="preserve"> after the end of the calendar year in which a violation occurred </w:t>
      </w:r>
      <w:r w:rsidR="007F08F1">
        <w:t xml:space="preserve">is </w:t>
      </w:r>
      <w:r w:rsidR="0073114F">
        <w:t>highly</w:t>
      </w:r>
      <w:r w:rsidR="49CD2C71">
        <w:t xml:space="preserve"> problematic</w:t>
      </w:r>
      <w:r w:rsidR="007F08F1">
        <w:t>.</w:t>
      </w:r>
      <w:r w:rsidR="00604F08">
        <w:t xml:space="preserve"> </w:t>
      </w:r>
      <w:r w:rsidR="002E229D">
        <w:t>Depending</w:t>
      </w:r>
      <w:r w:rsidR="00604F08">
        <w:t xml:space="preserve"> on when the violation occurs and when the state </w:t>
      </w:r>
      <w:r w:rsidR="006054F0">
        <w:t>housing credit allocating agency’s</w:t>
      </w:r>
      <w:r w:rsidR="00604F08">
        <w:t xml:space="preserve"> compliance monitoring is scheduled for that property</w:t>
      </w:r>
      <w:r w:rsidR="002E229D">
        <w:t>, the o</w:t>
      </w:r>
      <w:r w:rsidR="00604F08">
        <w:t xml:space="preserve">wner may not even know that there is a violation of the average </w:t>
      </w:r>
      <w:r w:rsidR="0073114F">
        <w:t xml:space="preserve">income set-aside </w:t>
      </w:r>
      <w:r w:rsidR="00604F08">
        <w:t xml:space="preserve">until well after the mitigation period is over. Even the most rigorous internal auditing and other due </w:t>
      </w:r>
      <w:r w:rsidR="344EEEEE">
        <w:t xml:space="preserve">diligence </w:t>
      </w:r>
      <w:r w:rsidR="00604F08">
        <w:t>measures on the part of owner</w:t>
      </w:r>
      <w:r w:rsidR="00C576F0">
        <w:t>s</w:t>
      </w:r>
      <w:r w:rsidR="00604F08">
        <w:t xml:space="preserve"> may not discover noncompliance until after the mitigation period.</w:t>
      </w:r>
    </w:p>
    <w:p w14:paraId="57F2B73A" w14:textId="0FDEDA92" w:rsidR="00280D3D" w:rsidRDefault="00F118F3" w:rsidP="00E93403">
      <w:r>
        <w:t xml:space="preserve">It is our legal </w:t>
      </w:r>
      <w:r w:rsidR="00737D83">
        <w:t xml:space="preserve">interpretation of the </w:t>
      </w:r>
      <w:r w:rsidR="00280D3D">
        <w:t xml:space="preserve">statute </w:t>
      </w:r>
      <w:r w:rsidR="00FA1572">
        <w:t xml:space="preserve">that the </w:t>
      </w:r>
      <w:r w:rsidR="58C553F8">
        <w:t>Average Income Minimum Set-Aside Election</w:t>
      </w:r>
      <w:r w:rsidR="00FA1572">
        <w:t xml:space="preserve"> </w:t>
      </w:r>
      <w:r w:rsidR="00280D3D">
        <w:t>only requir</w:t>
      </w:r>
      <w:r w:rsidR="00FA1572">
        <w:t>es</w:t>
      </w:r>
      <w:r w:rsidR="00280D3D">
        <w:t xml:space="preserve"> </w:t>
      </w:r>
      <w:r w:rsidR="00F957BC">
        <w:t xml:space="preserve">that a minimum of </w:t>
      </w:r>
      <w:r w:rsidR="00280D3D">
        <w:t xml:space="preserve">40 percent of the units </w:t>
      </w:r>
      <w:r w:rsidR="00F957BC">
        <w:t>in a property</w:t>
      </w:r>
      <w:r w:rsidR="00280D3D">
        <w:t xml:space="preserve"> </w:t>
      </w:r>
      <w:r w:rsidR="00870D77">
        <w:t xml:space="preserve">meet their </w:t>
      </w:r>
      <w:r w:rsidR="00870D77" w:rsidRPr="00604F08">
        <w:t>imputed income limitation designat</w:t>
      </w:r>
      <w:r w:rsidR="00870D77">
        <w:t xml:space="preserve">ions, whatever they may be. This stands in contrast to the </w:t>
      </w:r>
      <w:r w:rsidR="001136C7">
        <w:t xml:space="preserve">position taken by the IRS in the proposed regulations </w:t>
      </w:r>
      <w:r w:rsidR="08E6AA5B">
        <w:t>t</w:t>
      </w:r>
      <w:r w:rsidR="00114A30">
        <w:t>hat</w:t>
      </w:r>
      <w:r w:rsidR="00280D3D">
        <w:t xml:space="preserve"> </w:t>
      </w:r>
      <w:r w:rsidR="00C576F0">
        <w:t>all</w:t>
      </w:r>
      <w:r w:rsidR="00280D3D">
        <w:t xml:space="preserve"> unit</w:t>
      </w:r>
      <w:r w:rsidR="00C576F0">
        <w:t>s</w:t>
      </w:r>
      <w:r w:rsidR="00280D3D">
        <w:t xml:space="preserve"> </w:t>
      </w:r>
      <w:r w:rsidR="001136C7">
        <w:t>must average</w:t>
      </w:r>
      <w:r w:rsidR="00280D3D">
        <w:t xml:space="preserve"> 60 percent</w:t>
      </w:r>
      <w:r w:rsidR="001136C7">
        <w:t xml:space="preserve"> AMI</w:t>
      </w:r>
      <w:r w:rsidR="00280D3D">
        <w:t xml:space="preserve">. We believe that Congress intended the </w:t>
      </w:r>
      <w:r w:rsidR="006D5E13">
        <w:t>Average Income Minimum Set-Aside Election</w:t>
      </w:r>
      <w:r w:rsidR="00280D3D">
        <w:t xml:space="preserve"> to work similarly to the pre-existing 40 at 60 and 20 at 50 designations. </w:t>
      </w:r>
      <w:r w:rsidR="00604F08">
        <w:t>We urge you reconsider the statu</w:t>
      </w:r>
      <w:r w:rsidR="00F43875">
        <w:t>t</w:t>
      </w:r>
      <w:r w:rsidR="00604F08">
        <w:t xml:space="preserve">e with a plain-text reading, which at </w:t>
      </w:r>
      <w:r w:rsidR="00604F08" w:rsidRPr="00604F08">
        <w:t>Section 42(g)(1)(C)(</w:t>
      </w:r>
      <w:proofErr w:type="spellStart"/>
      <w:r w:rsidR="00604F08" w:rsidRPr="00604F08">
        <w:t>i</w:t>
      </w:r>
      <w:proofErr w:type="spellEnd"/>
      <w:r w:rsidR="00604F08" w:rsidRPr="00604F08">
        <w:t>), requires only that 40 percent of the units in the project be rent</w:t>
      </w:r>
      <w:r w:rsidR="00F43875">
        <w:t>-</w:t>
      </w:r>
      <w:r w:rsidR="00604F08" w:rsidRPr="00604F08">
        <w:t xml:space="preserve">restricted and occupied by individuals whose income does not exceed the imputed income limitation designated by the taxpayer with respect to the respective unit to achieve the minimum set-aside requirements.  </w:t>
      </w:r>
    </w:p>
    <w:p w14:paraId="42152102" w14:textId="77777777" w:rsidR="00521591" w:rsidRDefault="00664677" w:rsidP="00E93403">
      <w:r>
        <w:t xml:space="preserve">In the absence of </w:t>
      </w:r>
      <w:r w:rsidR="006D5E13">
        <w:t xml:space="preserve">federal </w:t>
      </w:r>
      <w:r>
        <w:t xml:space="preserve">regulations since Congress created the </w:t>
      </w:r>
      <w:r w:rsidR="006D5E13">
        <w:t>Average Income Minimum Set-Aside Election</w:t>
      </w:r>
      <w:r>
        <w:t xml:space="preserve"> in the spring of 2018, housing credit allocating agencies, investors, syndicators and affordable housing owners and operators have developed compliance regime</w:t>
      </w:r>
      <w:r w:rsidR="00604F08">
        <w:t>s</w:t>
      </w:r>
      <w:r>
        <w:t xml:space="preserve"> </w:t>
      </w:r>
      <w:r w:rsidR="00066118">
        <w:t>which</w:t>
      </w:r>
      <w:r>
        <w:t xml:space="preserve"> weig</w:t>
      </w:r>
      <w:r w:rsidR="00604F08">
        <w:t>h</w:t>
      </w:r>
      <w:r>
        <w:t xml:space="preserve"> guardrails to stymie potential bad actors against practical realities. </w:t>
      </w:r>
      <w:r w:rsidR="009A0071">
        <w:t xml:space="preserve">Owners acted in good faith on these policies, most of which allow designation changes in various circumstances. The ability to do so was a crucial aspect of the decision to elect average income. </w:t>
      </w:r>
    </w:p>
    <w:p w14:paraId="06218C18" w14:textId="4BE5B345" w:rsidR="009A0071" w:rsidRPr="00664677" w:rsidRDefault="00280D3D" w:rsidP="00E93403">
      <w:r>
        <w:t xml:space="preserve">In this case, the proposed guardrails make the financing and development of affordable housing using the </w:t>
      </w:r>
      <w:r w:rsidR="00066118">
        <w:t>Average Income Minimum Set-Aside Election</w:t>
      </w:r>
      <w:r>
        <w:t xml:space="preserve"> simply unfeasible. </w:t>
      </w:r>
      <w:r w:rsidR="00604F08">
        <w:t>Treasury and the IRS will need to consider what options properties using the mutually</w:t>
      </w:r>
      <w:r w:rsidR="004D6C54">
        <w:t>-</w:t>
      </w:r>
      <w:r w:rsidR="00604F08">
        <w:t>agreed</w:t>
      </w:r>
      <w:r w:rsidR="004D6C54">
        <w:t>-</w:t>
      </w:r>
      <w:r w:rsidR="00604F08">
        <w:t>to</w:t>
      </w:r>
      <w:r w:rsidR="004D6C54">
        <w:t>,</w:t>
      </w:r>
      <w:r w:rsidR="00604F08">
        <w:t xml:space="preserve"> previous compliance regime will have. </w:t>
      </w:r>
      <w:r w:rsidR="00604F08">
        <w:lastRenderedPageBreak/>
        <w:t xml:space="preserve">One option is to allow a change to the irrevocable set-aside election. Another is to </w:t>
      </w:r>
      <w:r w:rsidR="004B7286">
        <w:t>grandfather the</w:t>
      </w:r>
      <w:r w:rsidR="00604F08">
        <w:t xml:space="preserve"> properties </w:t>
      </w:r>
      <w:r w:rsidR="004B7286">
        <w:t xml:space="preserve">developed before the final adoption of the </w:t>
      </w:r>
      <w:r w:rsidR="00313447">
        <w:t>proposed</w:t>
      </w:r>
      <w:r w:rsidR="004B7286">
        <w:t xml:space="preserve"> regulations </w:t>
      </w:r>
      <w:r w:rsidR="00080E96">
        <w:t xml:space="preserve">by allowing them to </w:t>
      </w:r>
      <w:r w:rsidR="00604F08">
        <w:t xml:space="preserve">proceed </w:t>
      </w:r>
      <w:r w:rsidR="00080E96">
        <w:t>with</w:t>
      </w:r>
      <w:r w:rsidR="00604F08">
        <w:t xml:space="preserve"> the state-level guidance they </w:t>
      </w:r>
      <w:r w:rsidR="00313447">
        <w:t>have</w:t>
      </w:r>
      <w:r w:rsidR="00604F08">
        <w:t xml:space="preserve"> be</w:t>
      </w:r>
      <w:r w:rsidR="00080E96">
        <w:t>e</w:t>
      </w:r>
      <w:r w:rsidR="00604F08">
        <w:t>n operating under</w:t>
      </w:r>
      <w:r w:rsidR="00080E96">
        <w:t xml:space="preserve"> for the remainder of their compliance period.</w:t>
      </w:r>
    </w:p>
    <w:p w14:paraId="5D4D1ED0" w14:textId="123976A3" w:rsidR="002A537E" w:rsidRDefault="002A537E" w:rsidP="00E93403">
      <w:r>
        <w:t xml:space="preserve">Throughout this comment letter, we have been careful to qualify the proposed </w:t>
      </w:r>
      <w:r w:rsidR="00664677">
        <w:t>regulations as</w:t>
      </w:r>
      <w:r>
        <w:t xml:space="preserve"> </w:t>
      </w:r>
      <w:r w:rsidR="00664677">
        <w:t>“</w:t>
      </w:r>
      <w:r>
        <w:t>as currently drafted.</w:t>
      </w:r>
      <w:r w:rsidR="00C33E97">
        <w:t>”</w:t>
      </w:r>
      <w:r>
        <w:t xml:space="preserve"> </w:t>
      </w:r>
      <w:r w:rsidR="00F65178">
        <w:t xml:space="preserve"> </w:t>
      </w:r>
      <w:r>
        <w:t xml:space="preserve">We believe the public comment process affords </w:t>
      </w:r>
      <w:r w:rsidR="00F65178">
        <w:t xml:space="preserve">the IRS </w:t>
      </w:r>
      <w:r>
        <w:t xml:space="preserve">the opportunity to </w:t>
      </w:r>
      <w:r w:rsidR="005E5623">
        <w:t>change</w:t>
      </w:r>
      <w:r>
        <w:t xml:space="preserve"> course and rectify the </w:t>
      </w:r>
      <w:r w:rsidR="00483572">
        <w:t>issues identified herein and so that t</w:t>
      </w:r>
      <w:r>
        <w:t xml:space="preserve">he </w:t>
      </w:r>
      <w:r w:rsidR="00AA1D70">
        <w:t>Average Income Minimum Set-Aside Election</w:t>
      </w:r>
      <w:r>
        <w:t xml:space="preserve"> </w:t>
      </w:r>
      <w:r w:rsidR="00483572">
        <w:t xml:space="preserve">will be </w:t>
      </w:r>
      <w:r>
        <w:t>workable for developers and investors and ultimately, the very low-income and middle-income households that the election is intended to serve. Thank you again for your attention to this matter. We look forward to working with you and would be happy to offer our insight you as proceed towards a final rule.</w:t>
      </w:r>
    </w:p>
    <w:p w14:paraId="7741BC4A" w14:textId="3DC12657" w:rsidR="004926F6" w:rsidRDefault="004926F6" w:rsidP="00E93403">
      <w:r>
        <w:t xml:space="preserve">Sincerely, </w:t>
      </w:r>
    </w:p>
    <w:p w14:paraId="3FD10ECD" w14:textId="6A7C6AB3" w:rsidR="004926F6" w:rsidRPr="004926F6" w:rsidRDefault="004926F6" w:rsidP="00E93403">
      <w:pPr>
        <w:rPr>
          <w:highlight w:val="yellow"/>
        </w:rPr>
      </w:pPr>
      <w:r w:rsidRPr="004926F6">
        <w:rPr>
          <w:highlight w:val="yellow"/>
        </w:rPr>
        <w:t>Insert Signature</w:t>
      </w:r>
    </w:p>
    <w:p w14:paraId="53837438" w14:textId="3376FD83" w:rsidR="004926F6" w:rsidRDefault="004926F6" w:rsidP="00E93403">
      <w:r w:rsidRPr="004926F6">
        <w:rPr>
          <w:highlight w:val="yellow"/>
        </w:rPr>
        <w:t>Insert Name</w:t>
      </w:r>
      <w:r w:rsidRPr="004926F6">
        <w:rPr>
          <w:highlight w:val="yellow"/>
        </w:rPr>
        <w:br/>
        <w:t>Insert Title</w:t>
      </w:r>
    </w:p>
    <w:sectPr w:rsidR="00492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03"/>
    <w:rsid w:val="00035FD3"/>
    <w:rsid w:val="00036CA7"/>
    <w:rsid w:val="00063054"/>
    <w:rsid w:val="00066118"/>
    <w:rsid w:val="00071C82"/>
    <w:rsid w:val="00080E96"/>
    <w:rsid w:val="000F19AA"/>
    <w:rsid w:val="00111282"/>
    <w:rsid w:val="001136C7"/>
    <w:rsid w:val="00114A30"/>
    <w:rsid w:val="00151CBC"/>
    <w:rsid w:val="001E40AB"/>
    <w:rsid w:val="001F2425"/>
    <w:rsid w:val="00213A70"/>
    <w:rsid w:val="002249EF"/>
    <w:rsid w:val="0023386E"/>
    <w:rsid w:val="00241AA5"/>
    <w:rsid w:val="0027620D"/>
    <w:rsid w:val="00280D3D"/>
    <w:rsid w:val="00281159"/>
    <w:rsid w:val="002A537E"/>
    <w:rsid w:val="002B4B08"/>
    <w:rsid w:val="002D1C01"/>
    <w:rsid w:val="002E229D"/>
    <w:rsid w:val="00313447"/>
    <w:rsid w:val="0031624E"/>
    <w:rsid w:val="003576C3"/>
    <w:rsid w:val="003B1803"/>
    <w:rsid w:val="003B3CB5"/>
    <w:rsid w:val="003E3452"/>
    <w:rsid w:val="003F0F33"/>
    <w:rsid w:val="00447FD7"/>
    <w:rsid w:val="00457730"/>
    <w:rsid w:val="004761FE"/>
    <w:rsid w:val="00483572"/>
    <w:rsid w:val="004926F6"/>
    <w:rsid w:val="004B7286"/>
    <w:rsid w:val="004D4CA1"/>
    <w:rsid w:val="004D6C54"/>
    <w:rsid w:val="004E7BCA"/>
    <w:rsid w:val="004F462B"/>
    <w:rsid w:val="00521591"/>
    <w:rsid w:val="00525A6A"/>
    <w:rsid w:val="00542D07"/>
    <w:rsid w:val="005474EC"/>
    <w:rsid w:val="005758E7"/>
    <w:rsid w:val="005E5623"/>
    <w:rsid w:val="00604F08"/>
    <w:rsid w:val="006054F0"/>
    <w:rsid w:val="0061A7D9"/>
    <w:rsid w:val="00664677"/>
    <w:rsid w:val="006679F6"/>
    <w:rsid w:val="00686595"/>
    <w:rsid w:val="006B7423"/>
    <w:rsid w:val="006C1799"/>
    <w:rsid w:val="006D5E13"/>
    <w:rsid w:val="00722C5C"/>
    <w:rsid w:val="0073114F"/>
    <w:rsid w:val="00737D83"/>
    <w:rsid w:val="00737D98"/>
    <w:rsid w:val="00760B40"/>
    <w:rsid w:val="0076784D"/>
    <w:rsid w:val="00773DD1"/>
    <w:rsid w:val="0077501E"/>
    <w:rsid w:val="007F08F1"/>
    <w:rsid w:val="00870D77"/>
    <w:rsid w:val="00880097"/>
    <w:rsid w:val="00880644"/>
    <w:rsid w:val="00882424"/>
    <w:rsid w:val="008936A4"/>
    <w:rsid w:val="008B3B5B"/>
    <w:rsid w:val="008B4F5A"/>
    <w:rsid w:val="008B5134"/>
    <w:rsid w:val="008F2DF9"/>
    <w:rsid w:val="00937044"/>
    <w:rsid w:val="009A0071"/>
    <w:rsid w:val="009E510E"/>
    <w:rsid w:val="00A2614C"/>
    <w:rsid w:val="00A34D17"/>
    <w:rsid w:val="00A65CB3"/>
    <w:rsid w:val="00A72030"/>
    <w:rsid w:val="00A7367F"/>
    <w:rsid w:val="00A91524"/>
    <w:rsid w:val="00AA1D70"/>
    <w:rsid w:val="00AA23C0"/>
    <w:rsid w:val="00AA2B01"/>
    <w:rsid w:val="00B1240E"/>
    <w:rsid w:val="00B502DD"/>
    <w:rsid w:val="00B64A32"/>
    <w:rsid w:val="00B7136B"/>
    <w:rsid w:val="00B73D35"/>
    <w:rsid w:val="00BF59FF"/>
    <w:rsid w:val="00C32277"/>
    <w:rsid w:val="00C33E97"/>
    <w:rsid w:val="00C576F0"/>
    <w:rsid w:val="00C801FC"/>
    <w:rsid w:val="00CC5DD2"/>
    <w:rsid w:val="00CD0408"/>
    <w:rsid w:val="00CD67AE"/>
    <w:rsid w:val="00CE6284"/>
    <w:rsid w:val="00D55AB6"/>
    <w:rsid w:val="00D64F16"/>
    <w:rsid w:val="00D7329C"/>
    <w:rsid w:val="00DA2267"/>
    <w:rsid w:val="00E30426"/>
    <w:rsid w:val="00E477EA"/>
    <w:rsid w:val="00E53CF3"/>
    <w:rsid w:val="00E56ED3"/>
    <w:rsid w:val="00E87D1A"/>
    <w:rsid w:val="00E93403"/>
    <w:rsid w:val="00F02150"/>
    <w:rsid w:val="00F118F3"/>
    <w:rsid w:val="00F43875"/>
    <w:rsid w:val="00F65178"/>
    <w:rsid w:val="00F656D4"/>
    <w:rsid w:val="00F949A3"/>
    <w:rsid w:val="00F957BC"/>
    <w:rsid w:val="00FA1572"/>
    <w:rsid w:val="00FF7409"/>
    <w:rsid w:val="05BBDC06"/>
    <w:rsid w:val="06262C13"/>
    <w:rsid w:val="078621FB"/>
    <w:rsid w:val="08E6AA5B"/>
    <w:rsid w:val="0AB5D537"/>
    <w:rsid w:val="10874F61"/>
    <w:rsid w:val="167E471A"/>
    <w:rsid w:val="1D4263F8"/>
    <w:rsid w:val="1E4F4F48"/>
    <w:rsid w:val="24C1234D"/>
    <w:rsid w:val="291F9F0A"/>
    <w:rsid w:val="29458EC6"/>
    <w:rsid w:val="2BCECBEB"/>
    <w:rsid w:val="2D474CEB"/>
    <w:rsid w:val="2EFC45A9"/>
    <w:rsid w:val="318BD8FD"/>
    <w:rsid w:val="3227D794"/>
    <w:rsid w:val="344EEEEE"/>
    <w:rsid w:val="3707578E"/>
    <w:rsid w:val="3F476C9C"/>
    <w:rsid w:val="470C4081"/>
    <w:rsid w:val="49CD2C71"/>
    <w:rsid w:val="4E675772"/>
    <w:rsid w:val="4F328EEF"/>
    <w:rsid w:val="58C553F8"/>
    <w:rsid w:val="5C207510"/>
    <w:rsid w:val="5DBC4571"/>
    <w:rsid w:val="5DF88355"/>
    <w:rsid w:val="61BF9C05"/>
    <w:rsid w:val="65C75756"/>
    <w:rsid w:val="6A7AA8DE"/>
    <w:rsid w:val="7212F5D2"/>
    <w:rsid w:val="738305A5"/>
    <w:rsid w:val="749ADF40"/>
    <w:rsid w:val="75D3F39B"/>
    <w:rsid w:val="776810AA"/>
    <w:rsid w:val="78180B9E"/>
    <w:rsid w:val="7E5B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A563C"/>
  <w15:chartTrackingRefBased/>
  <w15:docId w15:val="{2480D226-A96F-40B6-9E1B-F8A5F3AA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9AA"/>
    <w:rPr>
      <w:rFonts w:ascii="Segoe UI" w:hAnsi="Segoe UI" w:cs="Segoe UI"/>
      <w:sz w:val="18"/>
      <w:szCs w:val="18"/>
    </w:rPr>
  </w:style>
  <w:style w:type="character" w:styleId="CommentReference">
    <w:name w:val="annotation reference"/>
    <w:basedOn w:val="DefaultParagraphFont"/>
    <w:uiPriority w:val="99"/>
    <w:semiHidden/>
    <w:unhideWhenUsed/>
    <w:rsid w:val="00063054"/>
    <w:rPr>
      <w:sz w:val="16"/>
      <w:szCs w:val="16"/>
    </w:rPr>
  </w:style>
  <w:style w:type="paragraph" w:styleId="CommentText">
    <w:name w:val="annotation text"/>
    <w:basedOn w:val="Normal"/>
    <w:link w:val="CommentTextChar"/>
    <w:uiPriority w:val="99"/>
    <w:semiHidden/>
    <w:unhideWhenUsed/>
    <w:rsid w:val="00063054"/>
    <w:pPr>
      <w:spacing w:line="240" w:lineRule="auto"/>
    </w:pPr>
    <w:rPr>
      <w:sz w:val="20"/>
      <w:szCs w:val="20"/>
    </w:rPr>
  </w:style>
  <w:style w:type="character" w:customStyle="1" w:styleId="CommentTextChar">
    <w:name w:val="Comment Text Char"/>
    <w:basedOn w:val="DefaultParagraphFont"/>
    <w:link w:val="CommentText"/>
    <w:uiPriority w:val="99"/>
    <w:semiHidden/>
    <w:rsid w:val="00063054"/>
    <w:rPr>
      <w:sz w:val="20"/>
      <w:szCs w:val="20"/>
    </w:rPr>
  </w:style>
  <w:style w:type="paragraph" w:styleId="CommentSubject">
    <w:name w:val="annotation subject"/>
    <w:basedOn w:val="CommentText"/>
    <w:next w:val="CommentText"/>
    <w:link w:val="CommentSubjectChar"/>
    <w:uiPriority w:val="99"/>
    <w:semiHidden/>
    <w:unhideWhenUsed/>
    <w:rsid w:val="00063054"/>
    <w:rPr>
      <w:b/>
      <w:bCs/>
    </w:rPr>
  </w:style>
  <w:style w:type="character" w:customStyle="1" w:styleId="CommentSubjectChar">
    <w:name w:val="Comment Subject Char"/>
    <w:basedOn w:val="CommentTextChar"/>
    <w:link w:val="CommentSubject"/>
    <w:uiPriority w:val="99"/>
    <w:semiHidden/>
    <w:rsid w:val="000630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8572DE10F2E43B3E590F03902C211" ma:contentTypeVersion="10" ma:contentTypeDescription="Create a new document." ma:contentTypeScope="" ma:versionID="c14825aa4429c2486d09de9132b7814b">
  <xsd:schema xmlns:xsd="http://www.w3.org/2001/XMLSchema" xmlns:xs="http://www.w3.org/2001/XMLSchema" xmlns:p="http://schemas.microsoft.com/office/2006/metadata/properties" xmlns:ns2="00bee35c-f9c1-4087-96bf-e0c19f86b67c" xmlns:ns3="2d2faf81-fa28-4b1b-af1a-d5df1eb56d2b" targetNamespace="http://schemas.microsoft.com/office/2006/metadata/properties" ma:root="true" ma:fieldsID="b577ae2990d5517701ec191018248233" ns2:_="" ns3:_="">
    <xsd:import namespace="00bee35c-f9c1-4087-96bf-e0c19f86b67c"/>
    <xsd:import namespace="2d2faf81-fa28-4b1b-af1a-d5df1eb56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ee35c-f9c1-4087-96bf-e0c19f86b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2faf81-fa28-4b1b-af1a-d5df1eb56d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2D7E4-0EFA-409E-9D4F-0E351B6591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C62DD-9147-44D4-B198-FF97ED2E0BB4}">
  <ds:schemaRefs>
    <ds:schemaRef ds:uri="http://schemas.microsoft.com/sharepoint/v3/contenttype/forms"/>
  </ds:schemaRefs>
</ds:datastoreItem>
</file>

<file path=customXml/itemProps3.xml><?xml version="1.0" encoding="utf-8"?>
<ds:datastoreItem xmlns:ds="http://schemas.openxmlformats.org/officeDocument/2006/customXml" ds:itemID="{9687C823-78D9-4149-8089-D96D53C9C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ee35c-f9c1-4087-96bf-e0c19f86b67c"/>
    <ds:schemaRef ds:uri="2d2faf81-fa28-4b1b-af1a-d5df1eb56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Snyder</dc:creator>
  <cp:keywords/>
  <dc:description/>
  <cp:lastModifiedBy>Kaitlyn Snyder</cp:lastModifiedBy>
  <cp:revision>3</cp:revision>
  <dcterms:created xsi:type="dcterms:W3CDTF">2020-12-18T17:45:00Z</dcterms:created>
  <dcterms:modified xsi:type="dcterms:W3CDTF">2020-12-21T18:45:00Z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0x01010035C8572DE10F2E43B3E590F03902C211</vt:lpwstr>
  </property>
</Properties>
</file>